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4"/>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14:textFill>
            <w14:solidFill>
              <w14:schemeClr w14:val="tx1"/>
            </w14:solidFill>
          </w14:textFill>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7"/>
        <w:tblW w:w="7943" w:type="dxa"/>
        <w:jc w:val="center"/>
        <w:tblLayout w:type="fixed"/>
        <w:tblCellMar>
          <w:top w:w="0" w:type="dxa"/>
          <w:left w:w="108" w:type="dxa"/>
          <w:bottom w:w="0" w:type="dxa"/>
          <w:right w:w="108" w:type="dxa"/>
        </w:tblCellMar>
      </w:tblPr>
      <w:tblGrid>
        <w:gridCol w:w="1951"/>
        <w:gridCol w:w="284"/>
        <w:gridCol w:w="5708"/>
      </w:tblGrid>
      <w:tr>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708"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YXCG-20220819</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708"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阳江市阳东区融媒体中心网络安全等级保护</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708"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阳江市阳东区融媒体中心</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5708" w:type="dxa"/>
            <w:vAlign w:val="center"/>
          </w:tcPr>
          <w:p>
            <w:pPr>
              <w:pStyle w:val="24"/>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广东业信采购招标有限公司</w:t>
            </w:r>
          </w:p>
        </w:tc>
      </w:tr>
    </w:tbl>
    <w:p>
      <w:pPr>
        <w:pStyle w:val="24"/>
        <w:widowControl/>
        <w:adjustRightInd w:val="0"/>
        <w:snapToGrid w:val="0"/>
        <w:spacing w:line="360" w:lineRule="auto"/>
        <w:jc w:val="center"/>
        <w:rPr>
          <w:rFonts w:ascii="黑体" w:eastAsia="黑体"/>
          <w:bCs/>
          <w:color w:val="000000" w:themeColor="text1"/>
          <w:sz w:val="24"/>
          <w:highlight w:val="none"/>
          <w14:textFill>
            <w14:solidFill>
              <w14:schemeClr w14:val="tx1"/>
            </w14:solidFill>
          </w14:textFill>
        </w:rPr>
      </w:pPr>
    </w:p>
    <w:p>
      <w:pPr>
        <w:pStyle w:val="24"/>
        <w:widowControl/>
        <w:adjustRightInd w:val="0"/>
        <w:snapToGrid w:val="0"/>
        <w:spacing w:line="360" w:lineRule="auto"/>
        <w:jc w:val="center"/>
        <w:rPr>
          <w:rFonts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二○二二年八月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2"/>
        <w:numPr>
          <w:ilvl w:val="0"/>
          <w:numId w:val="0"/>
        </w:numPr>
        <w:spacing w:beforeLines="0" w:line="240" w:lineRule="auto"/>
        <w:rPr>
          <w:color w:val="000000" w:themeColor="text1"/>
          <w:highlight w:val="none"/>
          <w14:textFill>
            <w14:solidFill>
              <w14:schemeClr w14:val="tx1"/>
            </w14:solidFill>
          </w14:textFill>
        </w:rPr>
      </w:pPr>
    </w:p>
    <w:p>
      <w:pPr>
        <w:pStyle w:val="31"/>
        <w:tabs>
          <w:tab w:val="right" w:leader="dot" w:pos="9070"/>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_Toc31972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_Toc31972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_Toc15877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_Toc15877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_Toc11033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_Toc11033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_Toc27622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_Toc27622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_Toc1301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_Toc3002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_Toc4705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说</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_Toc4705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_Toc15123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_Toc9658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_Toc9658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_Toc10113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_Toc10113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_Toc19746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_Toc19746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_Toc19151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_Toc19151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_Toc30662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_Toc30662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_Toc27096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_Toc10225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_Toc10225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_Toc29484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_Toc31126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_Toc31126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_Toc1010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_Toc1010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_Toc19010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_Toc19010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_Toc19609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_Toc30060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_Toc30060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_Toc7260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_Toc7260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_Toc28801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_Toc20904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_Toc20904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_Toc11295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_Toc7904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_Toc7904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_Toc3166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_Toc19989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_Toc19989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_Toc6161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_Toc6161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_Toc17322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_Toc17322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_Toc16232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_Toc16131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_Toc16131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_Toc23648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_Toc23648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_Toc4521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_Toc4521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_Toc25565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_Toc2184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_Toc13409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_Toc13409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_Toc24632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_Toc24632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_Toc6080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_Toc6080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_Toc9324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_Toc30538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_Toc7166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_Toc7166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_Toc32301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_Toc11822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_Toc11822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_Toc1070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_Toc21266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_Toc10986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_Toc10986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_Toc28744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_Toc28744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_Toc10799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 xml:space="preserve">第五部分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_Toc10799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_Toc19555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_Toc19555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_Toc27710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_Toc27710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_Toc22196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_Toc22196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_Toc24815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_Toc24815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_Toc11864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_Toc11864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_Toc26374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_Toc27311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_Toc27311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_Toc25927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_Toc25927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_Toc30899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_Toc30899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_Toc14597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_Toc14597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_Toc15293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_Toc15293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_Toc3644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_Toc21947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_Toc21947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_Toc5500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_Toc5500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_Toc23021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附件四：商务条款偏离一览表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_Toc28206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附件五：技术条款偏离一览表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_Toc28206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_Toc1690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附件六：同类业绩一览表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_Toc4090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_Toc17758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_Toc17758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_Toc5203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附件九：中标服务费承诺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_Toc5203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_Toc28420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附件十：投标人提交的其它商务和技术资料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_Toc2422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_Toc30466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bCs w:val="0"/>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6" w:h="16838"/>
          <w:pgMar w:top="1474" w:right="1418" w:bottom="1474" w:left="1418" w:header="851" w:footer="851" w:gutter="0"/>
          <w:pgBorders>
            <w:top w:val="none" w:sz="0" w:space="0"/>
            <w:left w:val="none" w:sz="0" w:space="0"/>
            <w:bottom w:val="none" w:sz="0" w:space="0"/>
            <w:right w:val="none" w:sz="0" w:space="0"/>
          </w:pgBorders>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2"/>
        <w:numPr>
          <w:ilvl w:val="0"/>
          <w:numId w:val="0"/>
        </w:numPr>
        <w:spacing w:beforeLines="0"/>
        <w:rPr>
          <w:color w:val="000000" w:themeColor="text1"/>
          <w:highlight w:val="none"/>
          <w14:textFill>
            <w14:solidFill>
              <w14:schemeClr w14:val="tx1"/>
            </w14:solidFill>
          </w14:textFill>
        </w:rPr>
      </w:pPr>
      <w:bookmarkStart w:id="1" w:name="_Toc339019954"/>
      <w:bookmarkStart w:id="2" w:name="_Toc333935278"/>
      <w:bookmarkStart w:id="3" w:name="_Toc345513762"/>
      <w:bookmarkStart w:id="4" w:name="_Toc337632315"/>
      <w:bookmarkStart w:id="5" w:name="_Toc340677031"/>
      <w:bookmarkStart w:id="6" w:name="_Toc350756403"/>
      <w:bookmarkStart w:id="7" w:name="_Toc330459945"/>
      <w:bookmarkStart w:id="8" w:name="_Toc342060322"/>
      <w:bookmarkStart w:id="9" w:name="_Toc339020186"/>
      <w:bookmarkStart w:id="10" w:name="_Toc342296708"/>
      <w:bookmarkStart w:id="11" w:name="_Toc340507403"/>
      <w:bookmarkStart w:id="12" w:name="_Toc333238571"/>
      <w:bookmarkStart w:id="13" w:name="_Toc333237723"/>
      <w:bookmarkStart w:id="14" w:name="_Toc339020048"/>
      <w:bookmarkStart w:id="15" w:name="_Toc332206657"/>
      <w:bookmarkStart w:id="16" w:name="_Toc331512856"/>
      <w:bookmarkStart w:id="17" w:name="_Toc366072457"/>
      <w:bookmarkStart w:id="18" w:name="_Toc339019828"/>
      <w:bookmarkStart w:id="19" w:name="_Toc349127583"/>
      <w:bookmarkStart w:id="20" w:name="_Toc31972"/>
      <w:bookmarkStart w:id="21" w:name="_Toc336681537"/>
      <w:bookmarkStart w:id="22" w:name="_Toc333237612"/>
      <w:bookmarkStart w:id="23" w:name="_Toc349143546"/>
      <w:bookmarkStart w:id="24" w:name="_Toc339362257"/>
      <w:bookmarkStart w:id="25" w:name="_Toc331683994"/>
      <w:bookmarkStart w:id="26" w:name="_Toc350438702"/>
      <w:bookmarkStart w:id="27" w:name="_Toc339441044"/>
      <w:bookmarkStart w:id="28" w:name="_Toc336681892"/>
      <w:bookmarkStart w:id="29" w:name="_Toc365967002"/>
      <w:bookmarkStart w:id="30" w:name="_Toc365985108"/>
      <w:bookmarkStart w:id="31" w:name="_Toc332270305"/>
      <w:bookmarkStart w:id="32" w:name="_Toc341348291"/>
      <w:bookmarkStart w:id="33" w:name="_Toc333935619"/>
      <w:bookmarkStart w:id="34" w:name="_Toc340672830"/>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广东业信采购招标有限公司（以下简称“代理采购机构”）受</w:t>
      </w:r>
      <w:r>
        <w:rPr>
          <w:rFonts w:hint="eastAsia" w:ascii="宋体" w:hAnsi="宋体"/>
          <w:bCs/>
          <w:color w:val="000000" w:themeColor="text1"/>
          <w:highlight w:val="none"/>
          <w:lang w:eastAsia="zh-CN"/>
          <w14:textFill>
            <w14:solidFill>
              <w14:schemeClr w14:val="tx1"/>
            </w14:solidFill>
          </w14:textFill>
        </w:rPr>
        <w:t>阳江市阳东区融媒体中心</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阳江市阳东区融媒体中心网络安全等级保护</w:t>
      </w:r>
      <w:r>
        <w:rPr>
          <w:rFonts w:hint="eastAsia" w:ascii="宋体" w:hAnsi="宋体"/>
          <w:bCs/>
          <w:color w:val="000000" w:themeColor="text1"/>
          <w:highlight w:val="none"/>
          <w14:textFill>
            <w14:solidFill>
              <w14:schemeClr w14:val="tx1"/>
            </w14:solidFill>
          </w14:textFill>
        </w:rPr>
        <w:t>进行公开招标 (项目编号:</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YXCG-20220819</w:t>
      </w:r>
      <w:r>
        <w:rPr>
          <w:rFonts w:hint="eastAsia" w:ascii="宋体" w:hAnsi="宋体"/>
          <w:bCs/>
          <w:color w:val="000000" w:themeColor="text1"/>
          <w:highlight w:val="none"/>
          <w14:textFill>
            <w14:solidFill>
              <w14:schemeClr w14:val="tx1"/>
            </w14:solidFill>
          </w14:textFill>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阳江市阳东区融媒体中心网络安全等级保护</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bCs/>
          <w:color w:val="000000" w:themeColor="text1"/>
          <w:highlight w:val="none"/>
          <w:lang w:eastAsia="zh-CN"/>
          <w14:textFill>
            <w14:solidFill>
              <w14:schemeClr w14:val="tx1"/>
            </w14:solidFill>
          </w14:textFill>
        </w:rPr>
        <w:t>YXCG-20220819</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投标报价上限：人民币</w:t>
      </w:r>
      <w:r>
        <w:rPr>
          <w:rFonts w:hint="eastAsia" w:ascii="宋体" w:hAnsi="宋体"/>
          <w:bCs/>
          <w:color w:val="000000" w:themeColor="text1"/>
          <w:highlight w:val="none"/>
          <w:lang w:val="en-US" w:eastAsia="zh-CN"/>
          <w14:textFill>
            <w14:solidFill>
              <w14:schemeClr w14:val="tx1"/>
            </w14:solidFill>
          </w14:textFill>
        </w:rPr>
        <w:t>993660.00</w:t>
      </w:r>
      <w:r>
        <w:rPr>
          <w:rFonts w:hint="eastAsia" w:ascii="宋体" w:hAnsi="宋体"/>
          <w:bCs/>
          <w:color w:val="000000" w:themeColor="text1"/>
          <w:highlight w:val="none"/>
          <w14:textFill>
            <w14:solidFill>
              <w14:schemeClr w14:val="tx1"/>
            </w14:solidFill>
          </w14:textFill>
        </w:rPr>
        <w:t>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完工期</w:t>
      </w:r>
      <w:r>
        <w:rPr>
          <w:rFonts w:hint="eastAsia" w:ascii="宋体" w:hAnsi="宋体"/>
          <w:b/>
          <w:bCs/>
          <w:color w:val="000000" w:themeColor="text1"/>
          <w:spacing w:val="-6"/>
          <w:szCs w:val="21"/>
          <w:highlight w:val="none"/>
          <w14:textFill>
            <w14:solidFill>
              <w14:schemeClr w14:val="tx1"/>
            </w14:solidFill>
          </w14:textFill>
        </w:rPr>
        <w:t>：</w:t>
      </w:r>
      <w:r>
        <w:rPr>
          <w:rFonts w:hint="eastAsia" w:ascii="宋体" w:hAnsi="宋体"/>
          <w:bCs/>
          <w:color w:val="000000" w:themeColor="text1"/>
          <w:highlight w:val="none"/>
          <w:lang w:val="en-US" w:eastAsia="zh-CN"/>
          <w14:textFill>
            <w14:solidFill>
              <w14:schemeClr w14:val="tx1"/>
            </w14:solidFill>
          </w14:textFill>
        </w:rPr>
        <w:t>合同签订生效之日起1个月内完成。（超出该完工期将作为无效投标处理）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2）有依法缴纳税收和社会保障资金的良好记录：提供投标截止日前6个月内任意1个月依法缴纳税收和社会保障资金的相关材料。如依法免税或不需要缴纳社会保障资金的，提供相应证明材料；</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3）具有良好的商业信誉和健全的财务会计制度：投标人必须具有良好的商业信誉和健全的财务会计制度（</w:t>
      </w:r>
      <w:r>
        <w:rPr>
          <w:rFonts w:hint="eastAsia" w:ascii="宋体" w:hAnsi="宋体"/>
          <w:color w:val="000000" w:themeColor="text1"/>
          <w:szCs w:val="21"/>
          <w:highlight w:val="none"/>
          <w:lang w:val="en-US" w:eastAsia="zh-CN"/>
          <w14:textFill>
            <w14:solidFill>
              <w14:schemeClr w14:val="tx1"/>
            </w14:solidFill>
          </w14:textFill>
        </w:rPr>
        <w:t>提供2021年度财务状况报告或基本开户行出具的资信证明</w:t>
      </w:r>
      <w:r>
        <w:rPr>
          <w:rFonts w:hint="eastAsia" w:ascii="宋体" w:hAnsi="宋体"/>
          <w:color w:val="000000" w:themeColor="text1"/>
          <w:szCs w:val="21"/>
          <w:highlight w:val="none"/>
          <w14:textFill>
            <w14:solidFill>
              <w14:schemeClr w14:val="tx1"/>
            </w14:solidFill>
          </w14:textFill>
        </w:rPr>
        <w:t>）；</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4）具有履行合同所必需的设备和专业技术能力：按投标（响应）文件格式填报设备及专业技术能力情况；</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lang w:val="en-US" w:eastAsia="zh-CN"/>
          <w14:textFill>
            <w14:solidFill>
              <w14:schemeClr w14:val="tx1"/>
            </w14:solidFill>
          </w14:textFill>
        </w:rPr>
        <w:t>参照投标（报价）函相关承诺格式内容。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为采购项目提供整体设计、规范编制或者项目管理、监理、检测等服务的供应商，不得再参加该采购项目的其他采购活动；（提供《投标函》承诺）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单位负责人为同一人或者存在直接控股、管理关系的不同供应商，不得参加同一合同项下的政府采购活动；（提供《投标函》承诺）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投标人</w:t>
      </w:r>
      <w:r>
        <w:rPr>
          <w:rFonts w:hint="eastAsia" w:ascii="宋体" w:hAnsi="宋体"/>
          <w:color w:val="000000" w:themeColor="text1"/>
          <w:szCs w:val="21"/>
          <w:highlight w:val="none"/>
          <w14:textFill>
            <w14:solidFill>
              <w14:schemeClr w14:val="tx1"/>
            </w14:solidFill>
          </w14:textFill>
        </w:rPr>
        <w:t>未被列入“信用中国”网站(www.creditchina.gov.cn)“记录失信被执行人或重大税收违法</w:t>
      </w:r>
      <w:r>
        <w:rPr>
          <w:rFonts w:hint="eastAsia" w:ascii="宋体" w:hAnsi="宋体"/>
          <w:color w:val="000000" w:themeColor="text1"/>
          <w:szCs w:val="21"/>
          <w:highlight w:val="none"/>
          <w:lang w:val="en-US" w:eastAsia="zh-CN"/>
          <w14:textFill>
            <w14:solidFill>
              <w14:schemeClr w14:val="tx1"/>
            </w14:solidFill>
          </w14:textFill>
        </w:rPr>
        <w:t>失信主体</w:t>
      </w:r>
      <w:r>
        <w:rPr>
          <w:rFonts w:hint="eastAsia" w:ascii="宋体" w:hAnsi="宋体"/>
          <w:color w:val="000000" w:themeColor="text1"/>
          <w:szCs w:val="2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w:t>
      </w:r>
      <w:r>
        <w:rPr>
          <w:rFonts w:hint="eastAsia" w:ascii="宋体" w:hAnsi="宋体"/>
          <w:color w:val="000000" w:themeColor="text1"/>
          <w:szCs w:val="21"/>
          <w:highlight w:val="none"/>
          <w:lang w:val="en-US" w:eastAsia="zh-CN"/>
          <w14:textFill>
            <w14:solidFill>
              <w14:schemeClr w14:val="tx1"/>
            </w14:solidFill>
          </w14:textFill>
        </w:rPr>
        <w:t>投标人</w:t>
      </w:r>
      <w:r>
        <w:rPr>
          <w:rFonts w:hint="eastAsia" w:ascii="宋体" w:hAnsi="宋体"/>
          <w:color w:val="000000" w:themeColor="text1"/>
          <w:szCs w:val="21"/>
          <w:highlight w:val="none"/>
          <w14:textFill>
            <w14:solidFill>
              <w14:schemeClr w14:val="tx1"/>
            </w14:solidFill>
          </w14:textFill>
        </w:rPr>
        <w:t>需提供相关证明资料）。</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spacing w:line="360" w:lineRule="auto"/>
        <w:ind w:firstLine="210" w:firstLineChars="1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间及下载</w:t>
      </w:r>
      <w:r>
        <w:rPr>
          <w:rFonts w:hint="eastAsia" w:ascii="宋体" w:hAnsi="宋体" w:eastAsia="宋体" w:cs="宋体"/>
          <w:bCs/>
          <w:color w:val="000000" w:themeColor="text1"/>
          <w:highlight w:val="none"/>
          <w14:textFill>
            <w14:solidFill>
              <w14:schemeClr w14:val="tx1"/>
            </w14:solidFill>
          </w14:textFill>
        </w:rPr>
        <w:t>：</w:t>
      </w:r>
      <w:sdt>
        <w:sdtPr>
          <w:rPr>
            <w:rFonts w:hint="eastAsia" w:ascii="宋体" w:hAnsi="宋体" w:eastAsia="宋体" w:cs="宋体"/>
            <w:color w:val="000000" w:themeColor="text1"/>
            <w:highlight w:val="none"/>
            <w14:textFill>
              <w14:solidFill>
                <w14:schemeClr w14:val="tx1"/>
              </w14:solidFill>
            </w14:textFill>
          </w:rPr>
          <w:id w:val="785397802"/>
          <w:lock w:val="sdtLocked"/>
          <w:placeholder>
            <w:docPart w:val="EA96D7F7CF1A4A5297711D2BFC5C5079"/>
          </w:placeholder>
          <w:date w:fullDate="2022-08-31T00:00:00Z">
            <w:dateFormat w:val="yyyy'年'M'月'd'日'"/>
            <w:lid w:val="zh-CN"/>
            <w:storeMappedDataAs w:val="datetime"/>
            <w:calendar w:val="gregorian"/>
          </w:date>
        </w:sdtPr>
        <w:sdtEndPr>
          <w:rPr>
            <w:rFonts w:hint="eastAsia" w:ascii="宋体" w:hAnsi="宋体" w:eastAsia="宋体" w:cs="宋体"/>
            <w:color w:val="000000" w:themeColor="text1"/>
            <w:highlight w:val="none"/>
            <w14:textFill>
              <w14:solidFill>
                <w14:schemeClr w14:val="tx1"/>
              </w14:solidFill>
            </w14:textFill>
          </w:rPr>
        </w:sdtEndPr>
        <w:sdtContent>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2022年8月31日</w:t>
          </w:r>
        </w:sdtContent>
      </w:sdt>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至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2022年9月7日</w:t>
      </w:r>
      <w:r>
        <w:rPr>
          <w:rFonts w:hint="eastAsia" w:ascii="宋体" w:hAnsi="宋体" w:eastAsia="宋体" w:cs="宋体"/>
          <w:bCs/>
          <w:color w:val="000000" w:themeColor="text1"/>
          <w:highlight w:val="none"/>
          <w14:textFill>
            <w14:solidFill>
              <w14:schemeClr w14:val="tx1"/>
            </w14:solidFill>
          </w14:textFill>
        </w:rPr>
        <w:t>。</w:t>
      </w:r>
    </w:p>
    <w:p>
      <w:pPr>
        <w:widowControl/>
        <w:adjustRightInd w:val="0"/>
        <w:snapToGrid w:val="0"/>
        <w:spacing w:line="360" w:lineRule="auto"/>
        <w:ind w:left="315" w:leftChars="50" w:hanging="210" w:hangingChars="100"/>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widowControl/>
        <w:numPr>
          <w:ilvl w:val="0"/>
          <w:numId w:val="23"/>
        </w:numPr>
        <w:tabs>
          <w:tab w:val="left" w:pos="502"/>
        </w:tabs>
        <w:adjustRightInd w:val="0"/>
        <w:snapToGrid w:val="0"/>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widowControl/>
        <w:tabs>
          <w:tab w:val="left" w:pos="735"/>
        </w:tabs>
        <w:adjustRightInd w:val="0"/>
        <w:snapToGrid w:val="0"/>
        <w:spacing w:line="360" w:lineRule="auto"/>
        <w:ind w:left="315" w:hanging="315" w:hanging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1.购买招标文件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2022年8月31日</w:t>
      </w:r>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2022年9月7日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widowControl/>
        <w:tabs>
          <w:tab w:val="left" w:pos="735"/>
        </w:tabs>
        <w:adjustRightInd w:val="0"/>
        <w:snapToGrid w:val="0"/>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2.购买招标文件地点：阳江市江城区猫山四街33号A座2楼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05室。</w:t>
      </w:r>
    </w:p>
    <w:p>
      <w:pPr>
        <w:widowControl/>
        <w:tabs>
          <w:tab w:val="left" w:pos="735"/>
        </w:tabs>
        <w:adjustRightInd w:val="0"/>
        <w:snapToGrid w:val="0"/>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widowControl/>
        <w:tabs>
          <w:tab w:val="left" w:pos="735"/>
        </w:tabs>
        <w:adjustRightInd w:val="0"/>
        <w:snapToGrid w:val="0"/>
        <w:spacing w:line="360" w:lineRule="auto"/>
        <w:ind w:left="659" w:leftChars="164" w:hanging="315" w:hangingChars="1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"http://www.yjgpc.gov.cn/"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3"/>
          <w:rFonts w:hint="eastAsia" w:ascii="宋体" w:hAnsi="宋体" w:eastAsia="宋体" w:cs="宋体"/>
          <w:color w:val="000000" w:themeColor="text1"/>
          <w:highlight w:val="none"/>
          <w14:textFill>
            <w14:solidFill>
              <w14:schemeClr w14:val="tx1"/>
            </w14:solidFill>
          </w14:textFill>
        </w:rPr>
        <w:t>http://www.yjcg.cc</w:t>
      </w:r>
      <w:r>
        <w:rPr>
          <w:rStyle w:val="53"/>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"http://www.yjcg.cc/index.php?c=content&amp;a=list&amp;catid=14" \o "政府采购资料下载"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3"/>
          <w:rFonts w:hint="eastAsia" w:ascii="宋体" w:hAnsi="宋体" w:eastAsia="宋体" w:cs="宋体"/>
          <w:bCs/>
          <w:color w:val="000000" w:themeColor="text1"/>
          <w:szCs w:val="21"/>
          <w:highlight w:val="none"/>
          <w14:textFill>
            <w14:solidFill>
              <w14:schemeClr w14:val="tx1"/>
            </w14:solidFill>
          </w14:textFill>
        </w:rPr>
        <w:t>政府采购资料</w:t>
      </w:r>
      <w:r>
        <w:rPr>
          <w:rStyle w:val="53"/>
          <w:rFonts w:hint="eastAsia" w:ascii="宋体" w:hAnsi="宋体" w:eastAsia="宋体" w:cs="宋体"/>
          <w:bCs/>
          <w:color w:val="000000" w:themeColor="text1"/>
          <w:szCs w:val="21"/>
          <w:highlight w:val="none"/>
          <w14:textFill>
            <w14:solidFill>
              <w14:schemeClr w14:val="tx1"/>
            </w14:solidFill>
          </w14:textFill>
        </w:rPr>
        <w:fldChar w:fldCharType="end"/>
      </w:r>
      <w:r>
        <w:rPr>
          <w:rFonts w:hint="eastAsia" w:ascii="宋体" w:hAnsi="宋体" w:eastAsia="宋体" w:cs="宋体"/>
          <w:bCs/>
          <w:color w:val="000000" w:themeColor="text1"/>
          <w:szCs w:val="21"/>
          <w:highlight w:val="none"/>
          <w14:textFill>
            <w14:solidFill>
              <w14:schemeClr w14:val="tx1"/>
            </w14:solidFill>
          </w14:textFill>
        </w:rPr>
        <w:t>下载专区）加盖公章到指定地址购买。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660" w:leftChars="164" w:hanging="316" w:hangingChars="15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五、投标截止时间、开标时间及地点</w:t>
      </w:r>
    </w:p>
    <w:p>
      <w:pPr>
        <w:widowControl/>
        <w:tabs>
          <w:tab w:val="left" w:pos="735"/>
        </w:tabs>
        <w:adjustRightInd w:val="0"/>
        <w:snapToGrid w:val="0"/>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1.递交投标文件时间：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2022年9月21日</w:t>
      </w:r>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14</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w:t>
      </w:r>
      <w:r>
        <w:rPr>
          <w:rFonts w:hint="eastAsia" w:ascii="宋体" w:hAnsi="宋体" w:eastAsia="宋体" w:cs="宋体"/>
          <w:color w:val="000000" w:themeColor="text1"/>
          <w:highlight w:val="none"/>
          <w:lang w:val="en-US" w:eastAsia="zh-CN"/>
          <w14:textFill>
            <w14:solidFill>
              <w14:schemeClr w14:val="tx1"/>
            </w14:solidFill>
          </w14:textFill>
        </w:rPr>
        <w:t>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 xml:space="preserve"> (北京时间)。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2022年9月21日</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 xml:space="preserve">00 </w:t>
      </w:r>
      <w:r>
        <w:rPr>
          <w:rFonts w:hint="eastAsia" w:ascii="宋体" w:hAnsi="宋体" w:eastAsia="宋体" w:cs="宋体"/>
          <w:color w:val="000000" w:themeColor="text1"/>
          <w:highlight w:val="none"/>
          <w14:textFill>
            <w14:solidFill>
              <w14:schemeClr w14:val="tx1"/>
            </w14:solidFill>
          </w14:textFill>
        </w:rPr>
        <w:t>(北京时间)。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3.递交投标文件地点、开标地点：阳江市江城区猫山四街33号A座2楼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widowControl/>
        <w:tabs>
          <w:tab w:val="left" w:pos="735"/>
        </w:tabs>
        <w:adjustRightInd w:val="0"/>
        <w:snapToGrid w:val="0"/>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bookmarkStart w:id="2161" w:name="_GoBack"/>
      <w:bookmarkEnd w:id="2161"/>
    </w:p>
    <w:p>
      <w:pPr>
        <w:widowControl/>
        <w:tabs>
          <w:tab w:val="left" w:pos="630"/>
        </w:tabs>
        <w:adjustRightInd w:val="0"/>
        <w:snapToGrid w:val="0"/>
        <w:spacing w:line="360" w:lineRule="auto"/>
        <w:ind w:firstLine="315" w:firstLineChars="1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eastAsia="宋体" w:cs="宋体"/>
          <w:color w:val="000000" w:themeColor="text1"/>
          <w:kern w:val="28"/>
          <w:szCs w:val="21"/>
          <w:highlight w:val="none"/>
          <w:lang w:eastAsia="zh-CN"/>
          <w14:textFill>
            <w14:solidFill>
              <w14:schemeClr w14:val="tx1"/>
            </w14:solidFill>
          </w14:textFill>
        </w:rPr>
        <w:t>阳江市阳东区融媒体中心</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地    址：</w:t>
      </w:r>
      <w:r>
        <w:rPr>
          <w:rFonts w:hint="eastAsia" w:ascii="宋体" w:hAnsi="宋体" w:eastAsia="宋体" w:cs="宋体"/>
          <w:color w:val="000000" w:themeColor="text1"/>
          <w:kern w:val="28"/>
          <w:szCs w:val="21"/>
          <w:highlight w:val="none"/>
          <w:lang w:eastAsia="zh-CN"/>
          <w14:textFill>
            <w14:solidFill>
              <w14:schemeClr w14:val="tx1"/>
            </w14:solidFill>
          </w14:textFill>
        </w:rPr>
        <w:t>阳江市阳东区德政路区府大院</w:t>
      </w:r>
      <w:r>
        <w:rPr>
          <w:rFonts w:hint="eastAsia" w:ascii="宋体" w:hAnsi="宋体" w:eastAsia="宋体" w:cs="宋体"/>
          <w:color w:val="000000" w:themeColor="text1"/>
          <w:kern w:val="28"/>
          <w:szCs w:val="21"/>
          <w:highlight w:val="none"/>
          <w:lang w:val="en-US" w:eastAsia="zh-CN"/>
          <w14:textFill>
            <w14:solidFill>
              <w14:schemeClr w14:val="tx1"/>
            </w14:solidFill>
          </w14:textFill>
        </w:rPr>
        <w:t>3号楼1楼</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 系 人：程先生</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联系电话：</w:t>
      </w:r>
      <w:r>
        <w:rPr>
          <w:rFonts w:hint="eastAsia" w:ascii="宋体" w:hAnsi="宋体" w:cs="宋体"/>
          <w:color w:val="000000" w:themeColor="text1"/>
          <w:kern w:val="28"/>
          <w:szCs w:val="21"/>
          <w:highlight w:val="none"/>
          <w:lang w:val="en-US" w:eastAsia="zh-CN"/>
          <w14:textFill>
            <w14:solidFill>
              <w14:schemeClr w14:val="tx1"/>
            </w14:solidFill>
          </w14:textFill>
        </w:rPr>
        <w:t>0</w:t>
      </w:r>
      <w:r>
        <w:rPr>
          <w:rFonts w:hint="eastAsia" w:ascii="宋体" w:hAnsi="宋体" w:eastAsia="宋体" w:cs="宋体"/>
          <w:color w:val="000000" w:themeColor="text1"/>
          <w:kern w:val="28"/>
          <w:szCs w:val="21"/>
          <w:highlight w:val="none"/>
          <w14:textFill>
            <w14:solidFill>
              <w14:schemeClr w14:val="tx1"/>
            </w14:solidFill>
          </w14:textFill>
        </w:rPr>
        <w:t>662-6628016</w:t>
      </w:r>
    </w:p>
    <w:p>
      <w:pPr>
        <w:tabs>
          <w:tab w:val="left" w:pos="735"/>
          <w:tab w:val="left" w:pos="4680"/>
        </w:tabs>
        <w:adjustRightInd w:val="0"/>
        <w:snapToGrid w:val="0"/>
        <w:spacing w:line="360" w:lineRule="auto"/>
        <w:ind w:firstLine="315" w:firstLineChars="15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称：广东业信采购招标有限公司</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址：阳江市江城区猫山四街33号A座2楼</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人：冯国辉</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tabs>
          <w:tab w:val="left" w:pos="4680"/>
        </w:tabs>
        <w:adjustRightInd w:val="0"/>
        <w:snapToGrid w:val="0"/>
        <w:spacing w:line="360" w:lineRule="auto"/>
        <w:ind w:firstLine="630" w:firstLineChars="3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pPr>
        <w:widowControl/>
        <w:adjustRightInd w:val="0"/>
        <w:snapToGrid w:val="0"/>
        <w:spacing w:line="360" w:lineRule="auto"/>
        <w:rPr>
          <w:rFonts w:hint="eastAsia" w:ascii="宋体" w:hAnsi="宋体" w:eastAsia="宋体" w:cs="宋体"/>
          <w:b/>
          <w:color w:val="000000" w:themeColor="text1"/>
          <w:spacing w:val="20"/>
          <w:szCs w:val="21"/>
          <w:highlight w:val="none"/>
          <w14:textFill>
            <w14:solidFill>
              <w14:schemeClr w14:val="tx1"/>
            </w14:solidFill>
          </w14:textFill>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广东业信采购招标有限公司</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w:t>
      </w:r>
      <w:bookmarkStart w:id="37" w:name="_Toc336681893"/>
      <w:bookmarkStart w:id="38" w:name="_Toc365967003"/>
      <w:bookmarkStart w:id="39" w:name="_Toc333237724"/>
      <w:bookmarkStart w:id="40" w:name="_Toc339020049"/>
      <w:bookmarkStart w:id="41" w:name="_Toc333237613"/>
      <w:bookmarkStart w:id="42" w:name="_Toc331683995"/>
      <w:bookmarkStart w:id="43" w:name="_Toc340677032"/>
      <w:bookmarkStart w:id="44" w:name="_Toc342296709"/>
      <w:bookmarkStart w:id="45" w:name="_Toc339362258"/>
      <w:bookmarkStart w:id="46" w:name="_Toc342060323"/>
      <w:bookmarkStart w:id="47" w:name="_Toc332206658"/>
      <w:bookmarkStart w:id="48" w:name="_Toc336681538"/>
      <w:bookmarkStart w:id="49" w:name="_Toc345513763"/>
      <w:bookmarkStart w:id="50" w:name="_Toc366072458"/>
      <w:bookmarkStart w:id="51" w:name="_Toc331512857"/>
      <w:bookmarkStart w:id="52" w:name="_Toc339019955"/>
      <w:bookmarkStart w:id="53" w:name="_Toc333935620"/>
      <w:bookmarkStart w:id="54" w:name="_Toc340672831"/>
      <w:bookmarkStart w:id="55" w:name="_Toc337632316"/>
      <w:bookmarkStart w:id="56" w:name="_Toc333935279"/>
      <w:bookmarkStart w:id="57" w:name="_Toc332270306"/>
      <w:bookmarkStart w:id="58" w:name="_Toc339020187"/>
      <w:bookmarkStart w:id="59" w:name="_Toc341348292"/>
      <w:bookmarkStart w:id="60" w:name="_Toc339019829"/>
      <w:bookmarkStart w:id="61" w:name="_Toc350756404"/>
      <w:bookmarkStart w:id="62" w:name="_Toc350438703"/>
      <w:bookmarkStart w:id="63" w:name="_Toc333238572"/>
      <w:bookmarkStart w:id="64" w:name="_Toc365985109"/>
      <w:bookmarkStart w:id="65" w:name="_Toc330459946"/>
      <w:bookmarkStart w:id="66" w:name="_Toc349127584"/>
      <w:bookmarkStart w:id="67" w:name="_Toc339441045"/>
      <w:bookmarkStart w:id="68" w:name="_Toc340507404"/>
      <w:bookmarkStart w:id="69" w:name="_Toc349143547"/>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2022年8月31日</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2"/>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15877"/>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3935280"/>
      <w:bookmarkStart w:id="74" w:name="_Toc333237614"/>
      <w:bookmarkStart w:id="75" w:name="_Toc75570886"/>
      <w:bookmarkStart w:id="76" w:name="_Toc330459949"/>
      <w:bookmarkStart w:id="77" w:name="_Toc333237725"/>
      <w:bookmarkStart w:id="78" w:name="_Toc333238573"/>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3"/>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11033"/>
      <w:bookmarkStart w:id="80" w:name="_Toc336681547"/>
      <w:bookmarkStart w:id="81" w:name="_Toc342060341"/>
      <w:bookmarkStart w:id="82" w:name="_Toc365985146"/>
      <w:bookmarkStart w:id="83" w:name="_Toc339362267"/>
      <w:bookmarkStart w:id="84" w:name="_Toc331684005"/>
      <w:bookmarkStart w:id="85" w:name="_Toc365967040"/>
      <w:bookmarkStart w:id="86" w:name="_Toc345513834"/>
      <w:bookmarkStart w:id="87" w:name="_Toc333237755"/>
      <w:bookmarkStart w:id="88" w:name="_Toc332270313"/>
      <w:bookmarkStart w:id="89" w:name="_Toc341348305"/>
      <w:bookmarkStart w:id="90" w:name="_Toc339020062"/>
      <w:bookmarkStart w:id="91" w:name="_Toc340507409"/>
      <w:bookmarkStart w:id="92" w:name="_Toc342296727"/>
      <w:bookmarkStart w:id="93" w:name="_Toc366072495"/>
      <w:bookmarkStart w:id="94" w:name="_Toc333935654"/>
      <w:bookmarkStart w:id="95" w:name="_Toc333237644"/>
      <w:bookmarkStart w:id="96" w:name="_Toc330459952"/>
      <w:bookmarkStart w:id="97" w:name="_Toc332206675"/>
      <w:bookmarkStart w:id="98" w:name="_Toc350438716"/>
      <w:bookmarkStart w:id="99" w:name="_Toc336681902"/>
      <w:bookmarkStart w:id="100" w:name="_Toc349127593"/>
      <w:bookmarkStart w:id="101" w:name="_Toc339019856"/>
      <w:bookmarkStart w:id="102" w:name="_Toc339019982"/>
      <w:bookmarkStart w:id="103" w:name="_Toc350756417"/>
      <w:bookmarkStart w:id="104" w:name="_Toc340677037"/>
      <w:bookmarkStart w:id="105" w:name="_Toc349143556"/>
      <w:bookmarkStart w:id="106" w:name="_Toc339020200"/>
      <w:bookmarkStart w:id="107" w:name="_Toc333935313"/>
      <w:bookmarkStart w:id="108" w:name="_Toc340672836"/>
      <w:bookmarkStart w:id="109" w:name="_Toc331512865"/>
      <w:bookmarkStart w:id="110" w:name="_Toc333238600"/>
      <w:bookmarkStart w:id="111" w:name="_Toc339441054"/>
      <w:bookmarkStart w:id="112" w:name="_Toc337632325"/>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7"/>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000000" w:themeColor="text1"/>
                <w:highlight w:val="none"/>
                <w:lang w:eastAsia="zh-CN"/>
                <w14:textFill>
                  <w14:solidFill>
                    <w14:schemeClr w14:val="tx1"/>
                  </w14:solidFill>
                </w14:textFill>
              </w:rPr>
            </w:pPr>
            <w:r>
              <w:rPr>
                <w:rFonts w:hint="eastAsia"/>
                <w:b/>
                <w:color w:val="000000" w:themeColor="text1"/>
                <w:highlight w:val="none"/>
                <w:lang w:eastAsia="zh-CN"/>
                <w14:textFill>
                  <w14:solidFill>
                    <w14:schemeClr w14:val="tx1"/>
                  </w14:solidFill>
                </w14:textFill>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本项目采用总价报价，报价包含为完成本项目内容而产生的全部费用，采购人不再另行支付任何费用。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采购合同由中标供应商与采购人双方签订，签订时间为《中标通知书》发出之日起30个日历天内。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完工</w:t>
            </w:r>
            <w:r>
              <w:rPr>
                <w:rFonts w:hint="eastAsia"/>
                <w:b/>
                <w:color w:val="000000" w:themeColor="text1"/>
                <w:highlight w:val="none"/>
                <w14:textFill>
                  <w14:solidFill>
                    <w14:schemeClr w14:val="tx1"/>
                  </w14:solidFill>
                </w14:textFill>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1.符合《广播电视相关信息系统安全等级保护定级指南》（GD/J 037-2011）中4.5.2广播电视相关信息系统安全保护等级的标准。</w:t>
            </w:r>
          </w:p>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 xml:space="preserve">2.要求对全部服务内容进行现场验收。 </w:t>
            </w:r>
          </w:p>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3.中标供应商应负责在项目验收时将含有的全部产品说明书、厂家安装手册、技术文件、资料及安装、验收报告等文档汇集成册交付设备使用单位。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合同签订后，系统安装调试完成并验收合格交付使用，由财政分三年支付合同金额的100%款项（以阳东财政局实际支付为准）。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vMerge w:val="restart"/>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本项目维保服务三年，自项目验收合格后开始计算。中标供应商须在 2小时内响应，若需要上门维修，要求4小时内派专业维修技术人员到达采购人设备使用现场进行故障处理。维保服务内不得收取任何工时费及工程师差旅费等其他费用。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b/>
                <w:color w:val="000000" w:themeColor="text1"/>
                <w:highlight w:val="none"/>
                <w14:textFill>
                  <w14:solidFill>
                    <w14:schemeClr w14:val="tx1"/>
                  </w14:solidFill>
                </w14:textFill>
              </w:rPr>
              <w:t>提交主体：必须以投标人自身名义提交，</w:t>
            </w:r>
            <w:r>
              <w:rPr>
                <w:rFonts w:hint="eastAsia" w:ascii="宋体" w:hAnsi="宋体"/>
                <w:color w:val="000000" w:themeColor="text1"/>
                <w:szCs w:val="21"/>
                <w:highlight w:val="none"/>
                <w14:textFill>
                  <w14:solidFill>
                    <w14:schemeClr w14:val="tx1"/>
                  </w14:solidFill>
                </w14:textFill>
              </w:rPr>
              <w:t>应注明“</w:t>
            </w:r>
            <w:r>
              <w:rPr>
                <w:rFonts w:ascii="宋体" w:hAnsi="宋体"/>
                <w:b/>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14:textFill>
                  <w14:solidFill>
                    <w14:schemeClr w14:val="tx1"/>
                  </w14:solidFill>
                </w14:textFill>
              </w:rPr>
              <w:t>项目编号）投标保证金</w:t>
            </w:r>
            <w:r>
              <w:rPr>
                <w:rFonts w:hint="eastAsia" w:ascii="宋体" w:hAnsi="宋体"/>
                <w:color w:val="000000" w:themeColor="text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人民币</w:t>
            </w:r>
            <w:r>
              <w:rPr>
                <w:rFonts w:hint="eastAsia" w:ascii="宋体" w:hAnsi="宋体"/>
                <w:b/>
                <w:color w:val="000000" w:themeColor="text1"/>
                <w:szCs w:val="21"/>
                <w:highlight w:val="none"/>
                <w:lang w:val="en-US" w:eastAsia="zh-CN"/>
                <w14:textFill>
                  <w14:solidFill>
                    <w14:schemeClr w14:val="tx1"/>
                  </w14:solidFill>
                </w14:textFill>
              </w:rPr>
              <w:t>壹万</w:t>
            </w:r>
            <w:r>
              <w:rPr>
                <w:rFonts w:hint="eastAsia" w:ascii="宋体" w:hAnsi="宋体"/>
                <w:b/>
                <w:color w:val="000000" w:themeColor="text1"/>
                <w:szCs w:val="21"/>
                <w:highlight w:val="none"/>
                <w14:textFill>
                  <w14:solidFill>
                    <w14:schemeClr w14:val="tx1"/>
                  </w14:solidFill>
                </w14:textFill>
              </w:rPr>
              <w:t>元整（￥</w:t>
            </w:r>
            <w:r>
              <w:rPr>
                <w:rFonts w:hint="eastAsia" w:ascii="宋体" w:hAnsi="宋体"/>
                <w:b/>
                <w:color w:val="000000" w:themeColor="text1"/>
                <w:szCs w:val="21"/>
                <w:highlight w:val="none"/>
                <w:lang w:val="en-US" w:eastAsia="zh-CN"/>
                <w14:textFill>
                  <w14:solidFill>
                    <w14:schemeClr w14:val="tx1"/>
                  </w14:solidFill>
                </w14:textFill>
              </w:rPr>
              <w:t>10</w:t>
            </w:r>
            <w:r>
              <w:rPr>
                <w:rFonts w:hint="eastAsia" w:ascii="宋体" w:hAnsi="宋体"/>
                <w:b/>
                <w:color w:val="000000" w:themeColor="text1"/>
                <w:szCs w:val="21"/>
                <w:highlight w:val="none"/>
                <w14:textFill>
                  <w14:solidFill>
                    <w14:schemeClr w14:val="tx1"/>
                  </w14:solidFill>
                </w14:textFill>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中标服务费</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参考</w:t>
            </w:r>
            <w:r>
              <w:rPr>
                <w:rFonts w:hint="eastAsia" w:ascii="宋体" w:hAnsi="宋体"/>
                <w:bCs/>
                <w:color w:val="000000" w:themeColor="text1"/>
                <w:szCs w:val="21"/>
                <w:highlight w:val="none"/>
                <w14:textFill>
                  <w14:solidFill>
                    <w14:schemeClr w14:val="tx1"/>
                  </w14:solidFill>
                </w14:textFill>
              </w:rPr>
              <w:t>发改价格[2011]534号文的规定</w:t>
            </w:r>
            <w:r>
              <w:rPr>
                <w:rFonts w:hint="eastAsia" w:ascii="宋体" w:hAnsi="宋体"/>
                <w:color w:val="000000" w:themeColor="text1"/>
                <w:szCs w:val="21"/>
                <w:highlight w:val="none"/>
                <w14:textFill>
                  <w14:solidFill>
                    <w14:schemeClr w14:val="tx1"/>
                  </w14:solidFill>
                </w14:textFill>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adjustRightInd w:val="0"/>
        <w:snapToGrid w:val="0"/>
        <w:spacing w:line="360" w:lineRule="auto"/>
        <w:rPr>
          <w:b/>
          <w:color w:val="000000" w:themeColor="text1"/>
          <w:szCs w:val="21"/>
          <w:highlight w:val="none"/>
          <w14:textFill>
            <w14:solidFill>
              <w14:schemeClr w14:val="tx1"/>
            </w14:solidFill>
          </w14:textFill>
        </w:rPr>
      </w:pPr>
    </w:p>
    <w:p>
      <w:pPr>
        <w:pStyle w:val="3"/>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505160648"/>
      <w:bookmarkStart w:id="114" w:name="_Toc27622"/>
      <w:r>
        <w:rPr>
          <w:rFonts w:hint="eastAsia"/>
          <w:color w:val="000000" w:themeColor="text1"/>
          <w:kern w:val="0"/>
          <w:sz w:val="24"/>
          <w:highlight w:val="none"/>
          <w14:textFill>
            <w14:solidFill>
              <w14:schemeClr w14:val="tx1"/>
            </w14:solidFill>
          </w14:textFill>
        </w:rPr>
        <w:t>B  技术要求</w:t>
      </w:r>
      <w:bookmarkEnd w:id="113"/>
      <w:bookmarkEnd w:id="114"/>
    </w:p>
    <w:p>
      <w:pPr>
        <w:bidi w:val="0"/>
        <w:spacing w:line="360" w:lineRule="auto"/>
        <w:rPr>
          <w:b/>
          <w:bCs/>
          <w:color w:val="000000" w:themeColor="text1"/>
          <w:highlight w:val="none"/>
          <w14:textFill>
            <w14:solidFill>
              <w14:schemeClr w14:val="tx1"/>
            </w14:solidFill>
          </w14:textFill>
        </w:rPr>
      </w:pPr>
      <w:bookmarkStart w:id="115" w:name="_Toc111400391"/>
      <w:r>
        <w:rPr>
          <w:rFonts w:hint="eastAsia"/>
          <w:b/>
          <w:bCs/>
          <w:color w:val="000000" w:themeColor="text1"/>
          <w:highlight w:val="none"/>
          <w:lang w:val="en-US" w:eastAsia="zh-CN"/>
          <w14:textFill>
            <w14:solidFill>
              <w14:schemeClr w14:val="tx1"/>
            </w14:solidFill>
          </w14:textFill>
        </w:rPr>
        <w:t>一、</w:t>
      </w:r>
      <w:r>
        <w:rPr>
          <w:rFonts w:hint="eastAsia"/>
          <w:b/>
          <w:bCs/>
          <w:color w:val="000000" w:themeColor="text1"/>
          <w:highlight w:val="none"/>
          <w14:textFill>
            <w14:solidFill>
              <w14:schemeClr w14:val="tx1"/>
            </w14:solidFill>
          </w14:textFill>
        </w:rPr>
        <w:t>项目背景</w:t>
      </w:r>
      <w:bookmarkEnd w:id="115"/>
    </w:p>
    <w:p>
      <w:pPr>
        <w:bidi w:val="0"/>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随着广播电视数字化、网络化的广泛应用，广播电视网络安全工作的重要性日益彰显，广电总局于2011年发布了《广播电视安全播出管理规定》（总局令第62号），明确提出要开展信息系统等级保护工作。并且为进一步贯彻落实相关要求，广电总局先后制定了《广播电视相关信息系统安全等级保护定级指南》（GD/J 037-2011）和《广播电视相关信息系统安全等级保护基本要求》（GD/J 038-2011）等相关标准与规范，作为规范全行业信息安全防护工作，提升安全播出保障能力的基础性标准。</w:t>
      </w:r>
    </w:p>
    <w:p>
      <w:pPr>
        <w:bidi w:val="0"/>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2014年中央网络安全和信息化领导小组成立。2016年，习主席在4.19讲话中提到：没有网络安全，就没有国家安全。网络安全和信息化是一体之两翼、驱动之双轮，必须统一谋划、统一部署、统一推进、统一实施。自此，网络安全上升为国家战略！在此驱动下，《网络安全法》于2016年11月开始试行，2017年6月1日，正式颁布实施，其中第二十一条规定 国家实行网络安全等级保护制度。</w:t>
      </w:r>
    </w:p>
    <w:p>
      <w:pPr>
        <w:bidi w:val="0"/>
        <w:spacing w:line="360" w:lineRule="auto"/>
        <w:ind w:firstLine="420" w:firstLineChars="2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电视台作为国家重要宣传机构，为了履行国家《网络安全法》法律义务、满足行业监管机构的合规要求，有效规避单位所面临的信息安全合规风险，保障安全播出，单位需要开展等级保护建设工作。</w:t>
      </w:r>
    </w:p>
    <w:p>
      <w:pPr>
        <w:pStyle w:val="18"/>
        <w:spacing w:line="360" w:lineRule="auto"/>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二、项目依据</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bookmarkStart w:id="116" w:name="_Toc257396137"/>
      <w:r>
        <w:rPr>
          <w:rFonts w:hint="eastAsia" w:ascii="宋体" w:hAnsi="宋体" w:eastAsia="宋体" w:cs="宋体"/>
          <w:color w:val="000000" w:themeColor="text1"/>
          <w:highlight w:val="none"/>
          <w:lang w:val="en-US" w:eastAsia="zh-CN"/>
          <w14:textFill>
            <w14:solidFill>
              <w14:schemeClr w14:val="tx1"/>
            </w14:solidFill>
          </w14:textFill>
        </w:rPr>
        <w:t>1.信息安全等级保护管理办法（公通字[2007]43号）</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2.关于开展全国重要信息系统安全等级保护定级工作的通知（公信安[2007]861号）</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3.信息安全等级保护整改工作的指导意见（公信安[2009]1429号）</w:t>
      </w:r>
      <w:bookmarkEnd w:id="116"/>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4.广播电视安全播出管理规定（总局令62号）</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5.广播电视相关信息系统安全等级保护定级指南（GD/J 037-2011）</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6.广播电视相关信息系统安全等级保护基本要求（GD/J 038-2011）</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7.广播电视相关信息系统安全等级保护测评指南（GD/J 044-2012）</w:t>
      </w:r>
    </w:p>
    <w:p>
      <w:pPr>
        <w:pStyle w:val="18"/>
        <w:spacing w:line="360" w:lineRule="auto"/>
        <w:ind w:firstLine="42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8.《信息安全技术 网络安全等级保护基本要求》（送审版）GB/T 22239</w:t>
      </w:r>
    </w:p>
    <w:p>
      <w:pPr>
        <w:pStyle w:val="18"/>
        <w:spacing w:line="360" w:lineRule="auto"/>
        <w:rPr>
          <w:rFonts w:hint="eastAsia" w:ascii="宋体" w:hAnsi="宋体" w:eastAsia="宋体" w:cs="宋体"/>
          <w:b/>
          <w:bCs/>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lang w:val="en-US" w:eastAsia="zh-CN"/>
          <w14:textFill>
            <w14:solidFill>
              <w14:schemeClr w14:val="tx1"/>
            </w14:solidFill>
          </w14:textFill>
        </w:rPr>
        <w:t>三、</w:t>
      </w:r>
      <w:bookmarkStart w:id="117" w:name="_Toc19071"/>
      <w:bookmarkStart w:id="118" w:name="_Toc111400393"/>
      <w:r>
        <w:rPr>
          <w:rFonts w:hint="eastAsia" w:ascii="宋体" w:hAnsi="宋体" w:eastAsia="宋体" w:cs="宋体"/>
          <w:b/>
          <w:bCs/>
          <w:color w:val="000000" w:themeColor="text1"/>
          <w:highlight w:val="none"/>
          <w:lang w:val="en-US" w:eastAsia="zh-CN"/>
          <w14:textFill>
            <w14:solidFill>
              <w14:schemeClr w14:val="tx1"/>
            </w14:solidFill>
          </w14:textFill>
        </w:rPr>
        <w:t>建设内容</w:t>
      </w:r>
      <w:bookmarkEnd w:id="117"/>
      <w:bookmarkEnd w:id="118"/>
    </w:p>
    <w:p>
      <w:pPr>
        <w:bidi w:val="0"/>
        <w:spacing w:line="360" w:lineRule="auto"/>
        <w:rPr>
          <w:rFonts w:hint="eastAsia" w:ascii="宋体" w:hAnsi="宋体" w:eastAsia="宋体" w:cs="宋体"/>
          <w:b/>
          <w:bCs/>
          <w:color w:val="000000" w:themeColor="text1"/>
          <w:highlight w:val="none"/>
          <w14:textFill>
            <w14:solidFill>
              <w14:schemeClr w14:val="tx1"/>
            </w14:solidFill>
          </w14:textFill>
        </w:rPr>
      </w:pPr>
      <w:bookmarkStart w:id="119" w:name="_Toc111400394"/>
      <w:bookmarkStart w:id="120" w:name="_Toc14419"/>
      <w:r>
        <w:rPr>
          <w:rFonts w:hint="eastAsia" w:ascii="宋体" w:hAnsi="宋体" w:eastAsia="宋体" w:cs="宋体"/>
          <w:b/>
          <w:bCs/>
          <w:color w:val="000000" w:themeColor="text1"/>
          <w:highlight w:val="none"/>
          <w:lang w:val="en-US" w:eastAsia="zh-CN"/>
          <w14:textFill>
            <w14:solidFill>
              <w14:schemeClr w14:val="tx1"/>
            </w14:solidFill>
          </w14:textFill>
        </w:rPr>
        <w:t>1.</w:t>
      </w:r>
      <w:r>
        <w:rPr>
          <w:rFonts w:hint="eastAsia" w:ascii="宋体" w:hAnsi="宋体" w:eastAsia="宋体" w:cs="宋体"/>
          <w:b/>
          <w:bCs/>
          <w:color w:val="000000" w:themeColor="text1"/>
          <w:highlight w:val="none"/>
          <w14:textFill>
            <w14:solidFill>
              <w14:schemeClr w14:val="tx1"/>
            </w14:solidFill>
          </w14:textFill>
        </w:rPr>
        <w:t>系统定级情况</w:t>
      </w:r>
      <w:bookmarkEnd w:id="119"/>
      <w:bookmarkEnd w:id="120"/>
    </w:p>
    <w:p>
      <w:pPr>
        <w:bidi w:val="0"/>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根据《广播电视相关信息系统安全等级保护定级指南》（GD/J 037-2011）中4.5.2广播电视相关信息系统安全保护等级得知，各级电视中心播出相关信息系统等级保护定级如下： </w:t>
      </w:r>
    </w:p>
    <w:p>
      <w:pPr>
        <w:spacing w:line="360" w:lineRule="auto"/>
        <w:ind w:firstLine="422" w:firstLineChars="200"/>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表格6各级电视中心播出相关信息系统安全保护等级</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8"/>
        <w:gridCol w:w="1825"/>
        <w:gridCol w:w="1381"/>
        <w:gridCol w:w="1203"/>
        <w:gridCol w:w="2255"/>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38" w:type="dxa"/>
            <w:vMerge w:val="restart"/>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序号</w:t>
            </w:r>
          </w:p>
        </w:tc>
        <w:tc>
          <w:tcPr>
            <w:tcW w:w="1825" w:type="dxa"/>
            <w:vMerge w:val="restart"/>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信息系统分类</w:t>
            </w:r>
          </w:p>
        </w:tc>
        <w:tc>
          <w:tcPr>
            <w:tcW w:w="6473" w:type="dxa"/>
            <w:gridSpan w:val="4"/>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8" w:type="dxa"/>
            <w:vMerge w:val="continue"/>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p>
        </w:tc>
        <w:tc>
          <w:tcPr>
            <w:tcW w:w="1825" w:type="dxa"/>
            <w:vMerge w:val="continue"/>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p>
        </w:tc>
        <w:tc>
          <w:tcPr>
            <w:tcW w:w="1381" w:type="dxa"/>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国家级</w:t>
            </w:r>
          </w:p>
        </w:tc>
        <w:tc>
          <w:tcPr>
            <w:tcW w:w="1203" w:type="dxa"/>
            <w:vAlign w:val="center"/>
          </w:tcPr>
          <w:p>
            <w:pPr>
              <w:autoSpaceDE w:val="0"/>
              <w:autoSpaceDN w:val="0"/>
              <w:adjustRightInd w:val="0"/>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省级</w:t>
            </w:r>
          </w:p>
        </w:tc>
        <w:tc>
          <w:tcPr>
            <w:tcW w:w="2255" w:type="dxa"/>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省会城市、计划单列市</w:t>
            </w:r>
          </w:p>
        </w:tc>
        <w:tc>
          <w:tcPr>
            <w:tcW w:w="1634" w:type="dxa"/>
            <w:vAlign w:val="center"/>
          </w:tcPr>
          <w:p>
            <w:pPr>
              <w:spacing w:line="360" w:lineRule="auto"/>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地市及以下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8" w:type="dxa"/>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825"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高清播出系统</w:t>
            </w:r>
          </w:p>
        </w:tc>
        <w:tc>
          <w:tcPr>
            <w:tcW w:w="1381"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第四级</w:t>
            </w:r>
          </w:p>
        </w:tc>
        <w:tc>
          <w:tcPr>
            <w:tcW w:w="1203"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第三级</w:t>
            </w:r>
          </w:p>
        </w:tc>
        <w:tc>
          <w:tcPr>
            <w:tcW w:w="2255"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第三级</w:t>
            </w:r>
          </w:p>
        </w:tc>
        <w:tc>
          <w:tcPr>
            <w:tcW w:w="1634"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8" w:type="dxa"/>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825"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非编系统</w:t>
            </w:r>
          </w:p>
        </w:tc>
        <w:tc>
          <w:tcPr>
            <w:tcW w:w="1381"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第三级</w:t>
            </w:r>
          </w:p>
        </w:tc>
        <w:tc>
          <w:tcPr>
            <w:tcW w:w="1203"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第三级</w:t>
            </w:r>
          </w:p>
        </w:tc>
        <w:tc>
          <w:tcPr>
            <w:tcW w:w="2255"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第三级</w:t>
            </w:r>
          </w:p>
        </w:tc>
        <w:tc>
          <w:tcPr>
            <w:tcW w:w="1634" w:type="dxa"/>
            <w:vAlign w:val="center"/>
          </w:tcPr>
          <w:p>
            <w:pPr>
              <w:autoSpaceDE w:val="0"/>
              <w:autoSpaceDN w:val="0"/>
              <w:adjustRightInd w:val="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第二级</w:t>
            </w:r>
          </w:p>
        </w:tc>
      </w:tr>
    </w:tbl>
    <w:p>
      <w:pPr>
        <w:pStyle w:val="4"/>
        <w:spacing w:before="163"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根据上表得知地市及以下电视中心播出相关系统等级情况如下</w:t>
      </w:r>
      <w:r>
        <w:rPr>
          <w:rFonts w:hint="eastAsia"/>
          <w:color w:val="000000" w:themeColor="text1"/>
          <w:sz w:val="21"/>
          <w:szCs w:val="21"/>
          <w:highlight w:val="none"/>
          <w14:textFill>
            <w14:solidFill>
              <w14:schemeClr w14:val="tx1"/>
            </w14:solidFill>
          </w14:textFill>
        </w:rPr>
        <w:t>：</w:t>
      </w:r>
    </w:p>
    <w:p>
      <w:pPr>
        <w:pStyle w:val="4"/>
        <w:numPr>
          <w:ilvl w:val="0"/>
          <w:numId w:val="24"/>
        </w:numPr>
        <w:spacing w:before="163" w:line="360" w:lineRule="auto"/>
        <w:ind w:firstLineChars="0"/>
        <w:rPr>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高清播出系统</w:t>
      </w:r>
      <w:r>
        <w:rPr>
          <w:rFonts w:hint="eastAsia"/>
          <w:color w:val="000000" w:themeColor="text1"/>
          <w:sz w:val="21"/>
          <w:szCs w:val="21"/>
          <w:highlight w:val="none"/>
          <w14:textFill>
            <w14:solidFill>
              <w14:schemeClr w14:val="tx1"/>
            </w14:solidFill>
          </w14:textFill>
        </w:rPr>
        <w:t>应按照</w:t>
      </w:r>
      <w:r>
        <w:rPr>
          <w:rFonts w:hint="eastAsia"/>
          <w:b/>
          <w:color w:val="000000" w:themeColor="text1"/>
          <w:sz w:val="21"/>
          <w:szCs w:val="21"/>
          <w:highlight w:val="none"/>
          <w14:textFill>
            <w14:solidFill>
              <w14:schemeClr w14:val="tx1"/>
            </w14:solidFill>
          </w14:textFill>
        </w:rPr>
        <w:t>第三级</w:t>
      </w:r>
      <w:r>
        <w:rPr>
          <w:rFonts w:hint="eastAsia"/>
          <w:color w:val="000000" w:themeColor="text1"/>
          <w:sz w:val="21"/>
          <w:szCs w:val="21"/>
          <w:highlight w:val="none"/>
          <w14:textFill>
            <w14:solidFill>
              <w14:schemeClr w14:val="tx1"/>
            </w14:solidFill>
          </w14:textFill>
        </w:rPr>
        <w:t>信息系统进行安全防护。</w:t>
      </w:r>
    </w:p>
    <w:p>
      <w:pPr>
        <w:pStyle w:val="4"/>
        <w:numPr>
          <w:ilvl w:val="0"/>
          <w:numId w:val="24"/>
        </w:numPr>
        <w:spacing w:before="163" w:line="360" w:lineRule="auto"/>
        <w:ind w:firstLineChars="0"/>
        <w:rPr>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非编系统</w:t>
      </w:r>
      <w:r>
        <w:rPr>
          <w:rFonts w:hint="eastAsia"/>
          <w:color w:val="000000" w:themeColor="text1"/>
          <w:sz w:val="21"/>
          <w:szCs w:val="21"/>
          <w:highlight w:val="none"/>
          <w14:textFill>
            <w14:solidFill>
              <w14:schemeClr w14:val="tx1"/>
            </w14:solidFill>
          </w14:textFill>
        </w:rPr>
        <w:t>按照</w:t>
      </w:r>
      <w:r>
        <w:rPr>
          <w:rFonts w:hint="eastAsia"/>
          <w:b/>
          <w:color w:val="000000" w:themeColor="text1"/>
          <w:sz w:val="21"/>
          <w:szCs w:val="21"/>
          <w:highlight w:val="none"/>
          <w14:textFill>
            <w14:solidFill>
              <w14:schemeClr w14:val="tx1"/>
            </w14:solidFill>
          </w14:textFill>
        </w:rPr>
        <w:t>第二级</w:t>
      </w:r>
      <w:r>
        <w:rPr>
          <w:rFonts w:hint="eastAsia"/>
          <w:color w:val="000000" w:themeColor="text1"/>
          <w:sz w:val="21"/>
          <w:szCs w:val="21"/>
          <w:highlight w:val="none"/>
          <w14:textFill>
            <w14:solidFill>
              <w14:schemeClr w14:val="tx1"/>
            </w14:solidFill>
          </w14:textFill>
        </w:rPr>
        <w:t>信息系统进行安全防护</w:t>
      </w:r>
      <w:r>
        <w:rPr>
          <w:rFonts w:hint="eastAsia"/>
          <w:b/>
          <w:color w:val="000000" w:themeColor="text1"/>
          <w:sz w:val="21"/>
          <w:szCs w:val="21"/>
          <w:highlight w:val="none"/>
          <w14:textFill>
            <w14:solidFill>
              <w14:schemeClr w14:val="tx1"/>
            </w14:solidFill>
          </w14:textFill>
        </w:rPr>
        <w:t>。</w:t>
      </w:r>
    </w:p>
    <w:p>
      <w:pPr>
        <w:rPr>
          <w:color w:val="000000" w:themeColor="text1"/>
          <w:highlight w:val="none"/>
          <w14:textFill>
            <w14:solidFill>
              <w14:schemeClr w14:val="tx1"/>
            </w14:solidFill>
          </w14:textFill>
        </w:rPr>
      </w:pPr>
    </w:p>
    <w:p>
      <w:pPr>
        <w:bidi w:val="0"/>
        <w:spacing w:line="360" w:lineRule="auto"/>
        <w:rPr>
          <w:rFonts w:hint="eastAsia" w:ascii="宋体" w:hAnsi="宋体" w:eastAsia="宋体" w:cs="宋体"/>
          <w:b/>
          <w:bCs/>
          <w:color w:val="000000" w:themeColor="text1"/>
          <w:highlight w:val="none"/>
          <w14:textFill>
            <w14:solidFill>
              <w14:schemeClr w14:val="tx1"/>
            </w14:solidFill>
          </w14:textFill>
        </w:rPr>
      </w:pPr>
      <w:bookmarkStart w:id="121" w:name="_Toc812"/>
      <w:bookmarkStart w:id="122" w:name="_Toc518570025"/>
      <w:bookmarkStart w:id="123" w:name="_Toc111400395"/>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建设内容</w:t>
      </w:r>
      <w:bookmarkEnd w:id="121"/>
      <w:bookmarkEnd w:id="122"/>
      <w:bookmarkEnd w:id="123"/>
    </w:p>
    <w:p>
      <w:pPr>
        <w:bidi w:val="0"/>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依据《网络安全等级保护基本要求》，落实物理与环境安全、网络与通信安全、设备与计算安全和应用与数据安全等安全保障措施；落实信息安全责任制，建立并落实各类安全管理策略和制度、设立安全管理机构和人员、安全建设管理和安全运维管理的工作。具体内容如下：</w:t>
      </w:r>
    </w:p>
    <w:p>
      <w:pPr>
        <w:spacing w:line="360" w:lineRule="auto"/>
        <w:jc w:val="center"/>
        <w:rPr>
          <w:rFonts w:asciiTheme="minorEastAsia" w:hAnsiTheme="minorEastAsia" w:eastAsiaTheme="minorEastAsia"/>
          <w:color w:val="000000" w:themeColor="text1"/>
          <w:highlight w:val="none"/>
          <w14:textFill>
            <w14:solidFill>
              <w14:schemeClr w14:val="tx1"/>
            </w14:solidFill>
          </w14:textFill>
        </w:rPr>
      </w:pPr>
      <w:r>
        <w:rPr>
          <w:rFonts w:asciiTheme="minorEastAsia" w:hAnsiTheme="minorEastAsia" w:eastAsiaTheme="minorEastAsia"/>
          <w:color w:val="000000" w:themeColor="text1"/>
          <w:highlight w:val="none"/>
          <w14:textFill>
            <w14:solidFill>
              <w14:schemeClr w14:val="tx1"/>
            </w14:solidFill>
          </w14:textFill>
        </w:rPr>
        <w:drawing>
          <wp:inline distT="0" distB="0" distL="0" distR="0">
            <wp:extent cx="4377055" cy="3420745"/>
            <wp:effectExtent l="0" t="0" r="4445"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7"/>
                    <a:stretch>
                      <a:fillRect/>
                    </a:stretch>
                  </pic:blipFill>
                  <pic:spPr>
                    <a:xfrm>
                      <a:off x="0" y="0"/>
                      <a:ext cx="4385035" cy="3426823"/>
                    </a:xfrm>
                    <a:prstGeom prst="rect">
                      <a:avLst/>
                    </a:prstGeom>
                  </pic:spPr>
                </pic:pic>
              </a:graphicData>
            </a:graphic>
          </wp:inline>
        </w:drawing>
      </w:r>
    </w:p>
    <w:p>
      <w:pPr>
        <w:spacing w:line="360" w:lineRule="auto"/>
        <w:rPr>
          <w:rFonts w:ascii="宋体" w:hAnsi="宋体" w:eastAsia="宋体" w:cs="宋体"/>
          <w:b/>
          <w:bCs/>
          <w:color w:val="000000" w:themeColor="text1"/>
          <w:highlight w:val="none"/>
          <w14:textFill>
            <w14:solidFill>
              <w14:schemeClr w14:val="tx1"/>
            </w14:solidFill>
          </w14:textFill>
        </w:rPr>
      </w:pPr>
      <w:bookmarkStart w:id="124" w:name="_Toc111400396"/>
      <w:r>
        <w:rPr>
          <w:rFonts w:hint="eastAsia" w:ascii="宋体" w:hAnsi="宋体" w:eastAsia="宋体" w:cs="宋体"/>
          <w:b/>
          <w:bCs/>
          <w:color w:val="000000" w:themeColor="text1"/>
          <w:highlight w:val="none"/>
          <w14:textFill>
            <w14:solidFill>
              <w14:schemeClr w14:val="tx1"/>
            </w14:solidFill>
          </w14:textFill>
        </w:rPr>
        <w:t>3.等保设备建设清单</w:t>
      </w:r>
      <w:bookmarkEnd w:id="124"/>
    </w:p>
    <w:tbl>
      <w:tblPr>
        <w:tblStyle w:val="47"/>
        <w:tblW w:w="421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2977"/>
        <w:gridCol w:w="1660"/>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985" w:type="pct"/>
            <w:tcBorders>
              <w:tl2br w:val="nil"/>
              <w:tr2bl w:val="nil"/>
            </w:tcBorders>
            <w:shd w:val="clear" w:color="auto" w:fill="auto"/>
            <w:vAlign w:val="center"/>
          </w:tcPr>
          <w:p>
            <w:pPr>
              <w:widowControl/>
              <w:jc w:val="center"/>
              <w:rPr>
                <w:rFonts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序号</w:t>
            </w:r>
          </w:p>
        </w:tc>
        <w:tc>
          <w:tcPr>
            <w:tcW w:w="1825" w:type="pct"/>
            <w:tcBorders>
              <w:tl2br w:val="nil"/>
              <w:tr2bl w:val="nil"/>
            </w:tcBorders>
            <w:shd w:val="clear" w:color="auto" w:fill="auto"/>
            <w:vAlign w:val="center"/>
          </w:tcPr>
          <w:p>
            <w:pPr>
              <w:widowControl/>
              <w:jc w:val="center"/>
              <w:rPr>
                <w:rFonts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名称</w:t>
            </w:r>
          </w:p>
        </w:tc>
        <w:tc>
          <w:tcPr>
            <w:tcW w:w="1018" w:type="pct"/>
            <w:tcBorders>
              <w:tl2br w:val="nil"/>
              <w:tr2bl w:val="nil"/>
            </w:tcBorders>
            <w:shd w:val="clear" w:color="auto" w:fill="auto"/>
            <w:vAlign w:val="center"/>
          </w:tcPr>
          <w:p>
            <w:pPr>
              <w:widowControl/>
              <w:jc w:val="center"/>
              <w:rPr>
                <w:rFonts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数量</w:t>
            </w:r>
          </w:p>
        </w:tc>
        <w:tc>
          <w:tcPr>
            <w:tcW w:w="1170" w:type="pct"/>
            <w:tcBorders>
              <w:tl2br w:val="nil"/>
              <w:tr2bl w:val="nil"/>
            </w:tcBorders>
            <w:shd w:val="clear" w:color="auto" w:fill="auto"/>
            <w:vAlign w:val="center"/>
          </w:tcPr>
          <w:p>
            <w:pPr>
              <w:widowControl/>
              <w:jc w:val="center"/>
              <w:rPr>
                <w:rFonts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互联网防火墙</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eastAsia="zh-CN"/>
                <w14:textFill>
                  <w14:solidFill>
                    <w14:schemeClr w14:val="tx1"/>
                  </w14:solidFill>
                </w14:textFill>
              </w:rPr>
              <w:t>全</w:t>
            </w:r>
            <w:r>
              <w:rPr>
                <w:rFonts w:hint="eastAsia" w:ascii="宋体" w:hAnsi="宋体" w:eastAsia="宋体" w:cs="宋体"/>
                <w:color w:val="000000" w:themeColor="text1"/>
                <w:kern w:val="0"/>
                <w:szCs w:val="21"/>
                <w:highlight w:val="none"/>
                <w14:textFill>
                  <w14:solidFill>
                    <w14:schemeClr w14:val="tx1"/>
                  </w14:solidFill>
                </w14:textFill>
              </w:rPr>
              <w:t>网行为管理系统</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3</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运维</w:t>
            </w:r>
            <w:r>
              <w:rPr>
                <w:rFonts w:hint="eastAsia" w:ascii="宋体" w:hAnsi="宋体" w:eastAsia="宋体" w:cs="宋体"/>
                <w:color w:val="000000" w:themeColor="text1"/>
                <w:kern w:val="0"/>
                <w:szCs w:val="21"/>
                <w:highlight w:val="none"/>
                <w:lang w:eastAsia="zh-CN"/>
                <w14:textFill>
                  <w14:solidFill>
                    <w14:schemeClr w14:val="tx1"/>
                  </w14:solidFill>
                </w14:textFill>
              </w:rPr>
              <w:t>安全管理系统</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4</w:t>
            </w:r>
          </w:p>
        </w:tc>
        <w:tc>
          <w:tcPr>
            <w:tcW w:w="1825" w:type="pct"/>
            <w:tcBorders>
              <w:tl2br w:val="nil"/>
              <w:tr2bl w:val="nil"/>
            </w:tcBorders>
            <w:shd w:val="clear" w:color="auto" w:fill="auto"/>
            <w:vAlign w:val="center"/>
          </w:tcPr>
          <w:p>
            <w:pPr>
              <w:widowControl/>
              <w:jc w:val="center"/>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日志</w:t>
            </w:r>
            <w:r>
              <w:rPr>
                <w:rFonts w:hint="eastAsia" w:ascii="宋体" w:hAnsi="宋体" w:eastAsia="宋体" w:cs="宋体"/>
                <w:color w:val="000000" w:themeColor="text1"/>
                <w:kern w:val="0"/>
                <w:szCs w:val="21"/>
                <w:highlight w:val="none"/>
                <w:lang w:eastAsia="zh-CN"/>
                <w14:textFill>
                  <w14:solidFill>
                    <w14:schemeClr w14:val="tx1"/>
                  </w14:solidFill>
                </w14:textFill>
              </w:rPr>
              <w:t>分析管理系统</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5</w:t>
            </w:r>
          </w:p>
        </w:tc>
        <w:tc>
          <w:tcPr>
            <w:tcW w:w="1825" w:type="pct"/>
            <w:tcBorders>
              <w:tl2br w:val="nil"/>
              <w:tr2bl w:val="nil"/>
            </w:tcBorders>
            <w:shd w:val="clear" w:color="auto" w:fill="auto"/>
            <w:vAlign w:val="center"/>
          </w:tcPr>
          <w:p>
            <w:pPr>
              <w:widowControl/>
              <w:jc w:val="center"/>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数据库</w:t>
            </w:r>
            <w:r>
              <w:rPr>
                <w:rFonts w:hint="eastAsia" w:ascii="宋体" w:hAnsi="宋体" w:eastAsia="宋体" w:cs="宋体"/>
                <w:color w:val="000000" w:themeColor="text1"/>
                <w:kern w:val="0"/>
                <w:szCs w:val="21"/>
                <w:highlight w:val="none"/>
                <w:lang w:eastAsia="zh-CN"/>
                <w14:textFill>
                  <w14:solidFill>
                    <w14:schemeClr w14:val="tx1"/>
                  </w14:solidFill>
                </w14:textFill>
              </w:rPr>
              <w:t>安全</w:t>
            </w:r>
            <w:r>
              <w:rPr>
                <w:rFonts w:hint="eastAsia" w:ascii="宋体" w:hAnsi="宋体" w:eastAsia="宋体" w:cs="宋体"/>
                <w:color w:val="000000" w:themeColor="text1"/>
                <w:kern w:val="0"/>
                <w:szCs w:val="21"/>
                <w:highlight w:val="none"/>
                <w14:textFill>
                  <w14:solidFill>
                    <w14:schemeClr w14:val="tx1"/>
                  </w14:solidFill>
                </w14:textFill>
              </w:rPr>
              <w:t>审计</w:t>
            </w:r>
            <w:r>
              <w:rPr>
                <w:rFonts w:hint="eastAsia" w:ascii="宋体" w:hAnsi="宋体" w:eastAsia="宋体" w:cs="宋体"/>
                <w:color w:val="000000" w:themeColor="text1"/>
                <w:kern w:val="0"/>
                <w:szCs w:val="21"/>
                <w:highlight w:val="none"/>
                <w:lang w:eastAsia="zh-CN"/>
                <w14:textFill>
                  <w14:solidFill>
                    <w14:schemeClr w14:val="tx1"/>
                  </w14:solidFill>
                </w14:textFill>
              </w:rPr>
              <w:t>系统</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服务器区防火墙</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7</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等保测评服务（二级）</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8</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等保测评服务（三级）</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9</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终端安全管理系统</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10</w:t>
            </w:r>
          </w:p>
        </w:tc>
        <w:tc>
          <w:tcPr>
            <w:tcW w:w="1825"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系统集成服务</w:t>
            </w:r>
          </w:p>
        </w:tc>
        <w:tc>
          <w:tcPr>
            <w:tcW w:w="1018"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85" w:type="pct"/>
            <w:tcBorders>
              <w:tl2br w:val="nil"/>
              <w:tr2bl w:val="nil"/>
            </w:tcBorders>
            <w:shd w:val="clear" w:color="auto" w:fill="auto"/>
            <w:vAlign w:val="center"/>
          </w:tcPr>
          <w:p>
            <w:pPr>
              <w:widowControl/>
              <w:jc w:val="center"/>
              <w:rPr>
                <w:rFonts w:hint="default"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11</w:t>
            </w:r>
          </w:p>
        </w:tc>
        <w:tc>
          <w:tcPr>
            <w:tcW w:w="1825" w:type="pct"/>
            <w:tcBorders>
              <w:tl2br w:val="nil"/>
              <w:tr2bl w:val="nil"/>
            </w:tcBorders>
            <w:shd w:val="clear" w:color="auto" w:fill="auto"/>
            <w:vAlign w:val="center"/>
          </w:tcPr>
          <w:p>
            <w:pPr>
              <w:widowControl/>
              <w:jc w:val="center"/>
              <w:rPr>
                <w:rFonts w:hint="default"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杀毒软件</w:t>
            </w:r>
          </w:p>
        </w:tc>
        <w:tc>
          <w:tcPr>
            <w:tcW w:w="1018" w:type="pct"/>
            <w:tcBorders>
              <w:tl2br w:val="nil"/>
              <w:tr2bl w:val="nil"/>
            </w:tcBorders>
            <w:shd w:val="clear" w:color="auto" w:fill="auto"/>
            <w:vAlign w:val="center"/>
          </w:tcPr>
          <w:p>
            <w:pPr>
              <w:widowControl/>
              <w:jc w:val="center"/>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1</w:t>
            </w:r>
          </w:p>
        </w:tc>
        <w:tc>
          <w:tcPr>
            <w:tcW w:w="1170" w:type="pct"/>
            <w:tcBorders>
              <w:tl2br w:val="nil"/>
              <w:tr2bl w:val="nil"/>
            </w:tcBorders>
            <w:shd w:val="clear" w:color="auto" w:fill="auto"/>
            <w:vAlign w:val="center"/>
          </w:tcPr>
          <w:p>
            <w:pPr>
              <w:widowControl/>
              <w:jc w:val="center"/>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套</w:t>
            </w:r>
          </w:p>
        </w:tc>
      </w:tr>
    </w:tbl>
    <w:p>
      <w:pPr>
        <w:rPr>
          <w:color w:val="000000" w:themeColor="text1"/>
          <w:highlight w:val="none"/>
          <w14:textFill>
            <w14:solidFill>
              <w14:schemeClr w14:val="tx1"/>
            </w14:solidFill>
          </w14:textFill>
        </w:rPr>
      </w:pPr>
    </w:p>
    <w:p>
      <w:pPr>
        <w:spacing w:line="360" w:lineRule="auto"/>
        <w:rPr>
          <w:rFonts w:ascii="宋体" w:hAnsi="宋体" w:eastAsia="宋体" w:cs="宋体"/>
          <w:b/>
          <w:bCs/>
          <w:color w:val="000000" w:themeColor="text1"/>
          <w:highlight w:val="none"/>
          <w14:textFill>
            <w14:solidFill>
              <w14:schemeClr w14:val="tx1"/>
            </w14:solidFill>
          </w14:textFill>
        </w:rPr>
      </w:pPr>
      <w:bookmarkStart w:id="125" w:name="_Toc111400397"/>
      <w:r>
        <w:rPr>
          <w:rFonts w:hint="eastAsia" w:ascii="宋体" w:hAnsi="宋体" w:eastAsia="宋体" w:cs="宋体"/>
          <w:b/>
          <w:bCs/>
          <w:color w:val="000000" w:themeColor="text1"/>
          <w:highlight w:val="none"/>
          <w14:textFill>
            <w14:solidFill>
              <w14:schemeClr w14:val="tx1"/>
            </w14:solidFill>
          </w14:textFill>
        </w:rPr>
        <w:t>4.主要设备技术参数</w:t>
      </w:r>
      <w:bookmarkEnd w:id="125"/>
    </w:p>
    <w:p>
      <w:pPr>
        <w:spacing w:line="360" w:lineRule="auto"/>
        <w:rPr>
          <w:rFonts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1）互联网防火墙</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restart"/>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互联网防火墙</w:t>
            </w: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规格≥1U，内存大小≥4G，硬盘容量≥64G SSD，电源≥单电源，接口≥8千兆电口+2千兆光口SFP。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网络层吞吐量≥4G，应用层吞吐量≥1.5G，防病毒吞吐量≥600M，IPS吞吐量≥400M，全威胁吞吐量≥350M，并发连接数≥100万，HTTP新建连接数≥3万。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▲产品支持超过9000种应用的识别和控制，应用类型包括游戏、购物、图书百科、工作招聘、P2P下载、聊天工具、旅游出行、股票软件等类型应用进行检测与控制。（需提供截图证明并加盖原厂商公章）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产品支持链路连通性检查功能，支持基于3种以上协议对链路连通性进行探测，探测协议至少包括DNS解析、ARP探测、PING和BFD等方式。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产品支持基于应用、服务、时间、域名、IPv6对象等维度的访问控制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产品支持对ICMP、UDP、DNS、SYN等协议进行DDOS防护。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▲产品支持对SMTP、HTTP、FTP、SMB、POP3、HTTPS、IMAP等协议进行病毒防御。（需提供截图证明并加盖原厂商公章）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▲产品支持对压缩病毒文件进行检测和拦截，压缩层数支持15层及以上。（需提供截图证明并加盖原厂商公章）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产品支持杀毒白名单设置，可以例外排除特定MD5和URL的病毒文件，针对特定文件不进行查杀。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产品支持基于IMAP、FTP、RDP、VNC、SSH、TELNET、ORACLE、MYSQL、MSSQL等应用协议进行深度检测与防护。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产品支持安全策略有效性分析功能，分析内容至少包括策略冗余分析、策略匹配分析、风险端口风险等内容，提供安全策略优化建议。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▲产品内置超过10000种漏洞规则，同时支持在控制台界面通过漏洞ID、漏洞名称、危险等级、漏洞CVE标识、漏洞描述等条件查询漏洞特征信息，支持用户自定义IPS规则。（需提供截图证明并加盖原厂商公章）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产品支持多条件的安全日志组合查询，查询条件包括但不限于日志类型、日志级别、生成时间。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产品支持基于网络区域、网络对象、MAC地址、服务、应用等维度进行访问控制策略设置。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886" w:type="dxa"/>
          </w:tcPr>
          <w:p>
            <w:pPr>
              <w:numPr>
                <w:ilvl w:val="0"/>
                <w:numId w:val="25"/>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▲要求所投产品具备IT产品信息安全认证证书EAL4增强级，提供有效证书复印件。</w:t>
            </w:r>
          </w:p>
        </w:tc>
      </w:tr>
    </w:tbl>
    <w:p>
      <w:pPr>
        <w:rPr>
          <w:color w:val="000000" w:themeColor="text1"/>
          <w:highlight w:val="none"/>
          <w14:textFill>
            <w14:solidFill>
              <w14:schemeClr w14:val="tx1"/>
            </w14:solidFill>
          </w14:textFill>
        </w:rPr>
      </w:pPr>
    </w:p>
    <w:p>
      <w:pPr>
        <w:spacing w:line="360" w:lineRule="auto"/>
        <w:rPr>
          <w:rFonts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w:t>
      </w:r>
      <w:r>
        <w:rPr>
          <w:rFonts w:hint="eastAsia" w:ascii="宋体" w:hAnsi="宋体" w:eastAsia="宋体" w:cs="宋体"/>
          <w:b/>
          <w:bCs/>
          <w:color w:val="000000" w:themeColor="text1"/>
          <w:highlight w:val="none"/>
          <w:lang w:eastAsia="zh-CN"/>
          <w14:textFill>
            <w14:solidFill>
              <w14:schemeClr w14:val="tx1"/>
            </w14:solidFill>
          </w14:textFill>
        </w:rPr>
        <w:t>全</w:t>
      </w:r>
      <w:r>
        <w:rPr>
          <w:rFonts w:hint="eastAsia" w:ascii="宋体" w:hAnsi="宋体" w:eastAsia="宋体" w:cs="宋体"/>
          <w:b/>
          <w:bCs/>
          <w:color w:val="000000" w:themeColor="text1"/>
          <w:highlight w:val="none"/>
          <w14:textFill>
            <w14:solidFill>
              <w14:schemeClr w14:val="tx1"/>
            </w14:solidFill>
          </w14:textFill>
        </w:rPr>
        <w:t>网行为管理系统</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restart"/>
          </w:tcPr>
          <w:p>
            <w:pPr>
              <w:jc w:val="center"/>
              <w:rPr>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lang w:eastAsia="zh-CN"/>
                <w14:textFill>
                  <w14:solidFill>
                    <w14:schemeClr w14:val="tx1"/>
                  </w14:solidFill>
                </w14:textFill>
              </w:rPr>
              <w:t>全</w:t>
            </w:r>
            <w:r>
              <w:rPr>
                <w:rFonts w:hint="eastAsia" w:ascii="宋体" w:hAnsi="宋体" w:eastAsia="宋体" w:cs="宋体"/>
                <w:b/>
                <w:bCs/>
                <w:color w:val="000000" w:themeColor="text1"/>
                <w:highlight w:val="none"/>
                <w14:textFill>
                  <w14:solidFill>
                    <w14:schemeClr w14:val="tx1"/>
                  </w14:solidFill>
                </w14:textFill>
              </w:rPr>
              <w:t>网行为管理系统</w:t>
            </w: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规格≥1U，内存大小≥4G，硬盘容量≥128G minisata SSD，电源≥单电源，接口≥6千兆电口+2千兆光口SFP。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网络层吞吐量（大包）≥3Gb，应用层吞吐量≥300Mb，带宽性能≥200Mb，IPSEC VPN加密性能（最高性能）≥50Mb，支持用户数≥1000，准入终端数（支持客户端授权-需单独收费）≥500，包转发率≥27Kpps，每秒新建连接数≥2400，最大并发连接数≥120000。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支持部署在IPv6环境中，设备接口及部署模式均支持ipv6配置，所有核心功能（上网认证、应用控制、流量控制、内容审计、日志报表等）都支持IPv6；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支持DNS代理，能够基于用户、域名、目标DNS，指定代理策略生效，代理策略可以设置为：重定向至DNS服务器、解析为IP、丢弃、重定向至指定线路；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支持攻击、双机切换告警、移动终端管理告警、web关键字过滤告警、杀毒告警、设备流量超限告警、磁盘/CPU/内存异常告警等；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▲针对内网用户的对网络质量进行检测（提供界面截图证明并加盖厂商公章）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▲支持针对特权用户配置免认证key、免审计key、免控制key;（提供界面截图证明并加盖厂商公章）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支持查看当前设备的线路状态，线路带宽利用率以及当前策略的引流流量分布和实时的引流策略，支持设置线路流控策略;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不同用户推送不同认证页面，该认证页面可自定义，编辑内容包括文字、颜色风格、图片，且图片支持轮询播放;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▲支持网盘/笔记类应用访问内容和外发文件审计；（提供界面截图证明并加盖厂商公章）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自动发现网络里面的终端，并获取IP、Mac、厂商、操作系统、开放端口等信息，支持根据ip段、MAC、使用者过滤用户，以便和其他过滤方式一起组合来搜索或获取终端信息；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支持终端调用管理员指定脚本/程序以满足个性化检查要求，比如检测系统更新是否开启、开放端口、已安装程序列表、终端发通知等对不满足检查要求的终端可弹窗提示、禁止上网；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▲支持图形化查看当前内网IP使用情况，帮助管理员减少人工维护IP表的工作量；（提供界面截图证明并加盖厂商公章）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设备内置应用识别规则库，支持超过9000条应用规则数，支持超过6000种以上的应用，并保持每两个星期更新一次，保证应用识别的准确率；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支持在设置流量策略后，根据整体线路或者某流量通道内的空闲情况，自动启用和停止使用流量控制策略，以提升带宽的高使用率；空闲值可自定义;（提供界面截图证明并加盖厂商公章）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▲支持通过抑制P2P的下行丢包，来减缓P2P的下行流量，从而解决网络出口在做流控后仍然压力较大的问题；（提供界面截图证明并加盖厂商公章）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▲基于“流量”、“流速”、“时长”设置配额，当配额耗尽后，将用户加入到指定的流控黑名单惩罚通道中（提供界面截图证明并加盖厂商公章）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6"/>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能够与同品牌下一代防火墙系统实现认证联动，同时部署产品后，可以实现认证同步机制，实现单点登录；</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3）运维</w:t>
      </w:r>
      <w:r>
        <w:rPr>
          <w:rFonts w:hint="eastAsia" w:ascii="宋体" w:hAnsi="宋体" w:eastAsia="宋体" w:cs="宋体"/>
          <w:b/>
          <w:bCs/>
          <w:color w:val="000000" w:themeColor="text1"/>
          <w:highlight w:val="none"/>
          <w:lang w:eastAsia="zh-CN"/>
          <w14:textFill>
            <w14:solidFill>
              <w14:schemeClr w14:val="tx1"/>
            </w14:solidFill>
          </w14:textFill>
        </w:rPr>
        <w:t>安全管理系统</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restart"/>
          </w:tcPr>
          <w:p>
            <w:pPr>
              <w:jc w:val="center"/>
              <w:rPr>
                <w:rFonts w:hint="eastAsia" w:eastAsia="宋体"/>
                <w:color w:val="000000" w:themeColor="text1"/>
                <w:highlight w:val="none"/>
                <w:lang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运维</w:t>
            </w:r>
            <w:r>
              <w:rPr>
                <w:rFonts w:hint="eastAsia" w:ascii="宋体" w:hAnsi="宋体" w:eastAsia="宋体" w:cs="宋体"/>
                <w:b/>
                <w:bCs/>
                <w:color w:val="000000" w:themeColor="text1"/>
                <w:highlight w:val="none"/>
                <w:lang w:eastAsia="zh-CN"/>
                <w14:textFill>
                  <w14:solidFill>
                    <w14:schemeClr w14:val="tx1"/>
                  </w14:solidFill>
                </w14:textFill>
              </w:rPr>
              <w:t>安全管理系统</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规格≥1U，内存大小≥8G，硬盘容量≥2T SATA，电源≥单电源，接口≥6千兆电口。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默认包含运维授权数≥50，最大可扩展资产数≥150，图形运维最大并发数≥100，字符运维最大并发数≥200。</w:t>
            </w:r>
          </w:p>
          <w:p>
            <w:pPr>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▲支持通过动作流配置提供广泛的应用接入支持，无论被接入的资源如何设计登录动作，通过动作流配置都可以实现单点登陆和审计接入（提供界面截图证明并加盖厂商公章）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snapToGrid w:val="0"/>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支持批量导入、导出用户信息；支持用户手动添加、删除、编辑、设定角色、单独指定登陆认证方式、设定用户有效期。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支持Windows AD域账号与堡垒主机账号周期比对，自动或手动删除或锁定失效的域账号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Theme="minorEastAsia" w:hAnsiTheme="minorEastAsia"/>
                <w:color w:val="000000" w:themeColor="text1"/>
                <w:szCs w:val="21"/>
                <w:highlight w:val="none"/>
                <w14:textFill>
                  <w14:solidFill>
                    <w14:schemeClr w14:val="tx1"/>
                  </w14:solidFill>
                </w14:textFill>
              </w:rPr>
              <w:t>内置三员角色的同时支持角色灵活自定义，可根据用户实际的管理特性或特殊的安全管理组织架构，划分管理角色的管理范畴</w:t>
            </w:r>
            <w:r>
              <w:rPr>
                <w:rFonts w:hint="eastAsia"/>
                <w:color w:val="000000" w:themeColor="text1"/>
                <w:highlight w:val="none"/>
                <w14:textFill>
                  <w14:solidFill>
                    <w14:schemeClr w14:val="tx1"/>
                  </w14:solidFill>
                </w14:textFill>
              </w:rPr>
              <w:t>（提供界面截图证明并加盖厂商公章）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支持批量导入、导出资源信息；支持手动添加、删除、编辑、查询资源，支持变更默认运维端口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snapToGrid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Theme="minorEastAsia" w:hAnsiTheme="minorEastAsia"/>
                <w:color w:val="000000" w:themeColor="text1"/>
                <w:szCs w:val="21"/>
                <w:highlight w:val="none"/>
                <w14:textFill>
                  <w14:solidFill>
                    <w14:schemeClr w14:val="tx1"/>
                  </w14:solidFill>
                </w14:textFill>
              </w:rPr>
              <w:t>支持RDP安全模式（RDP、NLA、TLS、ANY）设置，以适应RDP-Tcp属性中的所有功能配置，包括加密级别为客户端兼容、低、高、符合FIPS标准等加密级别</w:t>
            </w:r>
            <w:r>
              <w:rPr>
                <w:rFonts w:hint="eastAsia"/>
                <w:color w:val="000000" w:themeColor="text1"/>
                <w:highlight w:val="none"/>
                <w14:textFill>
                  <w14:solidFill>
                    <w14:schemeClr w14:val="tx1"/>
                  </w14:solidFill>
                </w14:textFill>
              </w:rPr>
              <w:t>（提供界面截图证明并加盖厂商公章）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snapToGrid w:val="0"/>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支持一对一、一对多、多对多授权，如将单个资产授权多个用户，一个用户授予多个资产，用户组向资产组授权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Theme="minorEastAsia" w:hAnsiTheme="minorEastAsia"/>
                <w:color w:val="000000" w:themeColor="text1"/>
                <w:szCs w:val="21"/>
                <w:highlight w:val="none"/>
                <w14:textFill>
                  <w14:solidFill>
                    <w14:schemeClr w14:val="tx1"/>
                  </w14:solidFill>
                </w14:textFill>
              </w:rPr>
              <w:t>支持在授权基础上自定义访问审批流程，可设置一级或多级审批人，每级审批可指定通过投票数，需逐级审批通过才可最终发起运维操作</w:t>
            </w:r>
            <w:r>
              <w:rPr>
                <w:rFonts w:hint="eastAsia"/>
                <w:color w:val="000000" w:themeColor="text1"/>
                <w:highlight w:val="none"/>
                <w14:textFill>
                  <w14:solidFill>
                    <w14:schemeClr w14:val="tx1"/>
                  </w14:solidFill>
                </w14:textFill>
              </w:rPr>
              <w:t>（提供界面截图证明并加盖厂商公章）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支持自定义紧急运维流程开启或关闭，紧急运维开启时，运维人员可通过紧急运维流程直接访问目标设备，系统记录为紧急运维工单，审批人员可在事后查看或审批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定期变更目标设备真实口令，支持自定义口令变更周期和口令强度。口令变更方式至少支持手动指定固定口令、通过密码表生成口令、依照设备挂载的口令策略生成随机口令、依照密码策略生成同一口令等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Theme="minorEastAsia" w:hAnsiTheme="minorEastAsia"/>
                <w:color w:val="000000" w:themeColor="text1"/>
                <w:szCs w:val="21"/>
                <w:highlight w:val="none"/>
                <w14:textFill>
                  <w14:solidFill>
                    <w14:schemeClr w14:val="tx1"/>
                  </w14:solidFill>
                </w14:textFill>
              </w:rPr>
              <w:t>支持命令审批规则，用户执行高危命令时需要管理员审批后才允许执行；命令审批规则可以指定运维人员、访问设备、设备账号及命令审批人</w:t>
            </w:r>
            <w:r>
              <w:rPr>
                <w:rFonts w:hint="eastAsia"/>
                <w:color w:val="000000" w:themeColor="text1"/>
                <w:highlight w:val="none"/>
                <w14:textFill>
                  <w14:solidFill>
                    <w14:schemeClr w14:val="tx1"/>
                  </w14:solidFill>
                </w14:textFill>
              </w:rPr>
              <w:t>（提供界面截图证明并加盖厂商公章）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支持web页面直接发起运维，无需安装任何控件，并同时支持调用SecureCRT、Xshell、Putty、WinSCP、FileZilla、RDP等客户端工具实现单点登陆，不改变运维人员操作习惯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snapToGrid w:val="0"/>
              <w:rPr>
                <w:color w:val="000000" w:themeColor="text1"/>
                <w:highlight w:val="none"/>
                <w14:textFill>
                  <w14:solidFill>
                    <w14:schemeClr w14:val="tx1"/>
                  </w14:solidFill>
                </w14:textFill>
              </w:rPr>
            </w:pPr>
            <w:r>
              <w:rPr>
                <w:rFonts w:asciiTheme="minorEastAsia" w:hAnsiTheme="minorEastAsia"/>
                <w:color w:val="000000" w:themeColor="text1"/>
                <w:szCs w:val="21"/>
                <w:highlight w:val="none"/>
                <w14:textFill>
                  <w14:solidFill>
                    <w14:schemeClr w14:val="tx1"/>
                  </w14:solidFill>
                </w14:textFill>
              </w:rPr>
              <w:t>支持提供系统内部操作审计，包括管理员和运维用户的登录、登出、对系统的配置操作、账号属性修改等系统管理操作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Theme="minorEastAsia" w:hAnsiTheme="minorEastAsia"/>
                <w:color w:val="000000" w:themeColor="text1"/>
                <w:szCs w:val="21"/>
                <w:highlight w:val="none"/>
                <w14:textFill>
                  <w14:solidFill>
                    <w14:schemeClr w14:val="tx1"/>
                  </w14:solidFill>
                </w14:textFill>
              </w:rPr>
              <w:t>全面支持IPV6，设备自身可以配置IPV6地址供客户端访问，并且支持目标设备配置IPV6地址实现单点登陆和审计（提供界面截图证明并加盖厂商公章）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s="微软雅黑" w:asciiTheme="minorEastAsia" w:hAnsiTheme="minorEastAsia"/>
                <w:bCs/>
                <w:color w:val="000000" w:themeColor="text1"/>
                <w:szCs w:val="21"/>
                <w:highlight w:val="none"/>
                <w14:textFill>
                  <w14:solidFill>
                    <w14:schemeClr w14:val="tx1"/>
                  </w14:solidFill>
                </w14:textFill>
              </w:rPr>
              <w:t>当磁盘空间达到阈值时，具有日志防溢出功能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snapToGrid w:val="0"/>
              <w:rPr>
                <w:color w:val="000000" w:themeColor="text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支持从WEB页面设置多端口绑定，防止单网卡或单网线故障发生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s="微软雅黑" w:asciiTheme="minorEastAsia" w:hAnsiTheme="minorEastAsia"/>
                <w:bCs/>
                <w:color w:val="000000" w:themeColor="text1"/>
                <w:szCs w:val="21"/>
                <w:highlight w:val="none"/>
                <w14:textFill>
                  <w14:solidFill>
                    <w14:schemeClr w14:val="tx1"/>
                  </w14:solidFill>
                </w14:textFill>
              </w:rPr>
              <w:t>支持双人复核登陆，登录时必须经过第二人授权后才能登录，第二人可通过远程授权或同终端授权两种方式实现授权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7"/>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产品应具备公安部《计算机信息系统安全专用产品销售许可证》</w:t>
            </w:r>
          </w:p>
        </w:tc>
      </w:tr>
    </w:tbl>
    <w:p>
      <w:pPr>
        <w:rPr>
          <w:color w:val="000000" w:themeColor="text1"/>
          <w:highlight w:val="none"/>
          <w14:textFill>
            <w14:solidFill>
              <w14:schemeClr w14:val="tx1"/>
            </w14:solidFill>
          </w14:textFill>
        </w:rPr>
      </w:pPr>
    </w:p>
    <w:p>
      <w:pPr>
        <w:rPr>
          <w:rFonts w:hint="eastAsia" w:ascii="宋体" w:hAnsi="宋体" w:eastAsia="宋体" w:cs="宋体"/>
          <w:b/>
          <w:bCs/>
          <w:color w:val="000000" w:themeColor="text1"/>
          <w:highlight w:val="none"/>
          <w:lang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4）日志</w:t>
      </w:r>
      <w:r>
        <w:rPr>
          <w:rFonts w:hint="eastAsia" w:ascii="宋体" w:hAnsi="宋体" w:eastAsia="宋体" w:cs="宋体"/>
          <w:b/>
          <w:bCs/>
          <w:color w:val="000000" w:themeColor="text1"/>
          <w:highlight w:val="none"/>
          <w:lang w:eastAsia="zh-CN"/>
          <w14:textFill>
            <w14:solidFill>
              <w14:schemeClr w14:val="tx1"/>
            </w14:solidFill>
          </w14:textFill>
        </w:rPr>
        <w:t>分析管理系统</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restart"/>
          </w:tcPr>
          <w:p>
            <w:pPr>
              <w:jc w:val="center"/>
              <w:rPr>
                <w:rFonts w:hint="default" w:eastAsia="宋体"/>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日志</w:t>
            </w:r>
            <w:r>
              <w:rPr>
                <w:rFonts w:hint="eastAsia" w:ascii="宋体" w:hAnsi="宋体" w:eastAsia="宋体" w:cs="宋体"/>
                <w:b/>
                <w:bCs/>
                <w:color w:val="000000" w:themeColor="text1"/>
                <w:highlight w:val="none"/>
                <w:lang w:eastAsia="zh-CN"/>
                <w14:textFill>
                  <w14:solidFill>
                    <w14:schemeClr w14:val="tx1"/>
                  </w14:solidFill>
                </w14:textFill>
              </w:rPr>
              <w:t>分析管理系统</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规格≥2U，内存大小≥16G，硬盘容量≥64G minisata+2T SATA*2，电源≥单电源，接口≥6千兆电口+2万兆光口SFP+。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默认包含主机审计许可证书数量≥50，最大可扩展审计主机许可数≥150，可用存储量≥2TB（RAID1 模式），平均每秒处理日志数（eps）最大性能≥1200。</w:t>
            </w:r>
          </w:p>
          <w:p>
            <w:pPr>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支持安全设备、网络设备、中间件、服务器、数据库、操作系统、业务系统等不少于720种日志对象的日志数据采集。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▲支持通过正则、分隔符、json、xml的可视方式进行自定义规则解析，支持对解析结果字段的新增、合并、映射。（提供界面截图证明并加盖厂商公章）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支持日志文件备份到外置存储节点，支持NFS、NAS、ISCSI三种存储方式，并可查看外置存储容量、状态等信息。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▲支持TLS加密方式进行日志传输，支持日志传输状态、最近同步时间进行监控，可统计每个日志源的今日传输量和传输总量。（提供截图证明并加盖原厂商公章）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支持主动、被动相结合的数据采集方式，支持通过Agent采集日志数据，支持通过syslog、SNMP Trap、JDBC、WMI、webservice、FTP、文件\文件夹读取、Kafka等多种方式完成日志收集；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支持将检索查询的条件收藏为查询模版，支持查询模版创建、导入导出、删除功能，支持历史搜索记录功能。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▲支持单条事件进行展开，显示事件详细信息和事件原始信息，支持事件详情中任意字段作为查询条件无限制进行二次检索分析。（提供截图证明并加盖原厂商公章）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支持告警事件归并、告警确认和告警归档，支持基于频率、频次、时间的设定条件。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▲日志进行归一化操作后，对日志等级进行映射，根据不同日志源统计不同等级下的日志数量（提供截图证明并加盖原厂商公章）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支持对IPv4/ipv6对象的自动发现功能，对自动发现的设备可以修改、删除或转为资产。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支持内置日志接入配置指导、典型日志事件介绍、安全经验等，并支持自定义创建增加知识库内容。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▲支持解码小工具，按照不同的解码方式解码成不同的目标内容，编码格式包括base64、Unicode、GBK、HEX、UTF-8等（需提供截图证明并加盖原厂商公章）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28"/>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支持自定义首页卡片，支持实时监控系统日志传输量和日志留存的合规情况。</w:t>
            </w:r>
          </w:p>
        </w:tc>
      </w:tr>
    </w:tbl>
    <w:p>
      <w:pPr>
        <w:rPr>
          <w:b/>
          <w:color w:val="000000" w:themeColor="text1"/>
          <w:sz w:val="18"/>
          <w:szCs w:val="18"/>
          <w:highlight w:val="none"/>
          <w14:textFill>
            <w14:solidFill>
              <w14:schemeClr w14:val="tx1"/>
            </w14:solidFill>
          </w14:textFill>
        </w:rPr>
      </w:pPr>
    </w:p>
    <w:p>
      <w:pPr>
        <w:numPr>
          <w:ilvl w:val="0"/>
          <w:numId w:val="29"/>
        </w:numPr>
        <w:rPr>
          <w:rFonts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数据库</w:t>
      </w:r>
      <w:r>
        <w:rPr>
          <w:rFonts w:hint="eastAsia" w:ascii="宋体" w:hAnsi="宋体" w:eastAsia="宋体" w:cs="宋体"/>
          <w:b/>
          <w:bCs/>
          <w:color w:val="000000" w:themeColor="text1"/>
          <w:highlight w:val="none"/>
          <w:lang w:eastAsia="zh-CN"/>
          <w14:textFill>
            <w14:solidFill>
              <w14:schemeClr w14:val="tx1"/>
            </w14:solidFill>
          </w14:textFill>
        </w:rPr>
        <w:t>安全</w:t>
      </w:r>
      <w:r>
        <w:rPr>
          <w:rFonts w:hint="eastAsia" w:ascii="宋体" w:hAnsi="宋体" w:eastAsia="宋体" w:cs="宋体"/>
          <w:b/>
          <w:bCs/>
          <w:color w:val="000000" w:themeColor="text1"/>
          <w:highlight w:val="none"/>
          <w14:textFill>
            <w14:solidFill>
              <w14:schemeClr w14:val="tx1"/>
            </w14:solidFill>
          </w14:textFill>
        </w:rPr>
        <w:t>审计</w:t>
      </w:r>
      <w:r>
        <w:rPr>
          <w:rFonts w:hint="eastAsia" w:ascii="宋体" w:hAnsi="宋体" w:eastAsia="宋体" w:cs="宋体"/>
          <w:b/>
          <w:bCs/>
          <w:color w:val="000000" w:themeColor="text1"/>
          <w:highlight w:val="none"/>
          <w:lang w:eastAsia="zh-CN"/>
          <w14:textFill>
            <w14:solidFill>
              <w14:schemeClr w14:val="tx1"/>
            </w14:solidFill>
          </w14:textFill>
        </w:rPr>
        <w:t>系统</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restart"/>
          </w:tcPr>
          <w:p>
            <w:pPr>
              <w:rPr>
                <w:rFonts w:hint="eastAsia" w:ascii="宋体" w:hAnsi="宋体" w:eastAsia="宋体" w:cs="宋体"/>
                <w:b/>
                <w:bCs/>
                <w:color w:val="000000" w:themeColor="text1"/>
                <w:highlight w:val="none"/>
                <w:lang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数据库</w:t>
            </w:r>
            <w:r>
              <w:rPr>
                <w:rFonts w:hint="eastAsia" w:ascii="宋体" w:hAnsi="宋体" w:eastAsia="宋体" w:cs="宋体"/>
                <w:b/>
                <w:bCs/>
                <w:color w:val="000000" w:themeColor="text1"/>
                <w:highlight w:val="none"/>
                <w:lang w:eastAsia="zh-CN"/>
                <w14:textFill>
                  <w14:solidFill>
                    <w14:schemeClr w14:val="tx1"/>
                  </w14:solidFill>
                </w14:textFill>
              </w:rPr>
              <w:t>安全</w:t>
            </w:r>
            <w:r>
              <w:rPr>
                <w:rFonts w:hint="eastAsia" w:ascii="宋体" w:hAnsi="宋体" w:eastAsia="宋体" w:cs="宋体"/>
                <w:b/>
                <w:bCs/>
                <w:color w:val="000000" w:themeColor="text1"/>
                <w:highlight w:val="none"/>
                <w14:textFill>
                  <w14:solidFill>
                    <w14:schemeClr w14:val="tx1"/>
                  </w14:solidFill>
                </w14:textFill>
              </w:rPr>
              <w:t>审计</w:t>
            </w:r>
            <w:r>
              <w:rPr>
                <w:rFonts w:hint="eastAsia" w:ascii="宋体" w:hAnsi="宋体" w:eastAsia="宋体" w:cs="宋体"/>
                <w:b/>
                <w:bCs/>
                <w:color w:val="000000" w:themeColor="text1"/>
                <w:highlight w:val="none"/>
                <w:lang w:eastAsia="zh-CN"/>
                <w14:textFill>
                  <w14:solidFill>
                    <w14:schemeClr w14:val="tx1"/>
                  </w14:solidFill>
                </w14:textFill>
              </w:rPr>
              <w:t>系统</w:t>
            </w:r>
          </w:p>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规格≥1U，内存大小≥8G，硬盘容量≥2T SATA，电源≥单电源，接口≥6千兆电口+2万兆光口SFP+。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最大硬件吞吐量≥2Gbps，最大纯数据库流量≥400Mb/s，数据库实例个数≥30个，SQL处理性能≥30000条SQL/s，日志检索性能≥500000条/秒。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采用B/S管理方式，无需在被审计系统上安装任何代理；无需单独的数据中心，一台设备完成所有工作；提供图形用户界面，以简单、直观的方式完成策略配置、警报查询、攻击响应、集中管理等各种任务；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支持主流数据库Oracle、SQL-Server、DB2、MySQL、Informix、Sybase、Postgresql、Cache、达梦、人大金仓、南大通用、MongDB、K-DB、虚谷等</w:t>
            </w:r>
            <w:r>
              <w:rPr>
                <w:rFonts w:hint="eastAsia"/>
                <w:color w:val="000000" w:themeColor="text1"/>
                <w:highlight w:val="none"/>
                <w14:textFill>
                  <w14:solidFill>
                    <w14:schemeClr w14:val="tx1"/>
                  </w14:solidFill>
                </w14:textFill>
              </w:rPr>
              <w:t>（需提供截图证明并加盖原厂商公章）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支持同时审计多种数据库及跨多种数据库平台操作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ascii="宋体" w:hAnsi="宋体" w:cs="微软雅黑"/>
                <w:color w:val="000000" w:themeColor="text1"/>
                <w:szCs w:val="21"/>
                <w:highlight w:val="none"/>
                <w14:textFill>
                  <w14:solidFill>
                    <w14:schemeClr w14:val="tx1"/>
                  </w14:solidFill>
                </w14:textFill>
              </w:rPr>
              <w:t>支持吞吐量分析，包括SQL语句吞吐量排行、SQL语句吞吐量趋势、SQL操作类型吞吐量排行、SQL操作类型吞吐量趋势、数据库用户吞吐量排行、数据库用户吞吐量趋势、业务主机吞吐量排行、业务主机吞吐量趋势；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宋体" w:hAnsi="宋体" w:cs="微软雅黑"/>
                <w:color w:val="000000" w:themeColor="text1"/>
                <w:szCs w:val="21"/>
                <w:highlight w:val="none"/>
                <w14:textFill>
                  <w14:solidFill>
                    <w14:schemeClr w14:val="tx1"/>
                  </w14:solidFill>
                </w14:textFill>
              </w:rPr>
              <w:t>支持精细化日志秒级查询，通过SQL串模式抽取保障磁盘IO的读写性能；分离式存储SQL语句保障数据审计速度快</w:t>
            </w:r>
            <w:r>
              <w:rPr>
                <w:rFonts w:hint="eastAsia"/>
                <w:color w:val="000000" w:themeColor="text1"/>
                <w:highlight w:val="none"/>
                <w14:textFill>
                  <w14:solidFill>
                    <w14:schemeClr w14:val="tx1"/>
                  </w14:solidFill>
                </w14:textFill>
              </w:rPr>
              <w:t>（需提供截图证明并加盖原厂商公章）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ascii="宋体" w:hAnsi="宋体" w:cs="微软雅黑"/>
                <w:color w:val="000000" w:themeColor="text1"/>
                <w:szCs w:val="21"/>
                <w:highlight w:val="none"/>
                <w14:textFill>
                  <w14:solidFill>
                    <w14:schemeClr w14:val="tx1"/>
                  </w14:solidFill>
                </w14:textFill>
              </w:rPr>
              <w:t>支持TB级日志秒级查询、支持指定源IP、时间日期、客户端程序、业务系统、数据库用户、操作类型等精细日志查询、支持操作类型精细化日志查询、支持风险级别排行统计查询、支持数据库条件的统计查询、支持统计趋势查询分析、支持风险级别查询分析、支持通过多SQL语句的统计查询、支持统计分析下钻、支持业务系统元素统计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宋体" w:hAnsi="宋体" w:cs="微软雅黑"/>
                <w:color w:val="000000" w:themeColor="text1"/>
                <w:szCs w:val="21"/>
                <w:highlight w:val="none"/>
                <w14:textFill>
                  <w14:solidFill>
                    <w14:schemeClr w14:val="tx1"/>
                  </w14:solidFill>
                </w14:textFill>
              </w:rPr>
              <w:t>支持以时间、源IP、客户端程序、业务系统、数据库用户、数据库名、操作类型、表名、返回行数、影响行数、响应时长、响应码、策略、规则、风险级别、SQL模版为条件的数据库风险查询。</w:t>
            </w:r>
            <w:r>
              <w:rPr>
                <w:rFonts w:hint="eastAsia"/>
                <w:color w:val="000000" w:themeColor="text1"/>
                <w:highlight w:val="none"/>
                <w14:textFill>
                  <w14:solidFill>
                    <w14:schemeClr w14:val="tx1"/>
                  </w14:solidFill>
                </w14:textFill>
              </w:rPr>
              <w:t>（需提供截图证明并加盖原厂商公章）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ascii="宋体" w:hAnsi="宋体" w:cs="微软雅黑"/>
                <w:color w:val="000000" w:themeColor="text1"/>
                <w:szCs w:val="21"/>
                <w:highlight w:val="none"/>
                <w14:textFill>
                  <w14:solidFill>
                    <w14:schemeClr w14:val="tx1"/>
                  </w14:solidFill>
                </w14:textFill>
              </w:rPr>
              <w:t>支持内置大量SQL安全规则，包括如下：导出方式窃取、备份方式窃取、导出可执行程序、备份方式写入恶意代码、系统命令执行、读注册表、写注册表、暴露系统信息、高权存储过程、执行本地代码、常见运维工具使用grant、业务系统使用grant、客户端sp_addrolemember提权、web端sp_addrolemember提权、查询内置敏感表、篡改内置敏感表等；</w:t>
            </w:r>
            <w:r>
              <w:rPr>
                <w:rFonts w:hint="eastAsia"/>
                <w:color w:val="000000" w:themeColor="text1"/>
                <w:highlight w:val="none"/>
                <w14:textFill>
                  <w14:solidFill>
                    <w14:schemeClr w14:val="tx1"/>
                  </w14:solidFill>
                </w14:textFill>
              </w:rPr>
              <w:t>（需提供截图证明并加盖原厂商公章）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可以对SQL语句进行安全检测，并识别当前的SQL操作是否有暴库、撞库等严重性安全问题，如果命中了安全风险规则，那么可根据动作进行阻断、告警、记录等操作，可提示管理员作出相应的防御措施；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支以通过自定义交互分析设置正常访问和异常访问视图、数据库泄密分析、图形化泄密轨迹分析、数据窃取、数据库风险、外发数据人员、受攻击业务系统、风险总次数这几个维度实时监控内网数据威胁态势并且提供交互式分析视图帮助企业快速溯源。</w:t>
            </w:r>
            <w:r>
              <w:rPr>
                <w:rFonts w:hint="eastAsia"/>
                <w:color w:val="000000" w:themeColor="text1"/>
                <w:highlight w:val="none"/>
                <w14:textFill>
                  <w14:solidFill>
                    <w14:schemeClr w14:val="tx1"/>
                  </w14:solidFill>
                </w14:textFill>
              </w:rPr>
              <w:t>（需提供截图证明并加盖原厂商公章）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支持审计系统用户（组）管理（添加、修改、删除、停用、启用）；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支持对所有审计管理员操作审计系统的动作进行审计；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0"/>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通过公安部《计算机信息系统安全专用产品销售许可证》</w:t>
            </w:r>
          </w:p>
        </w:tc>
      </w:tr>
    </w:tbl>
    <w:p>
      <w:pPr>
        <w:pStyle w:val="18"/>
        <w:rPr>
          <w:color w:val="000000" w:themeColor="text1"/>
          <w:highlight w:val="none"/>
          <w14:textFill>
            <w14:solidFill>
              <w14:schemeClr w14:val="tx1"/>
            </w14:solidFill>
          </w14:textFill>
        </w:rPr>
      </w:pPr>
    </w:p>
    <w:p>
      <w:pPr>
        <w:numPr>
          <w:ilvl w:val="0"/>
          <w:numId w:val="29"/>
        </w:numPr>
        <w:rPr>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服务器区防火墙</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restart"/>
          </w:tcPr>
          <w:p>
            <w:pPr>
              <w:rPr>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服务器区防火墙</w:t>
            </w:r>
          </w:p>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规格≥1U，内存大小≥8G，硬盘容量≥64G SSD，电源≥单电源，接口≥8千兆电口+2万兆光口SFP+。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网络层吞吐量≥8G，应用层吞吐量≥3G，防病毒吞吐量≥1G，IPS吞吐量≥600M，全威胁吞吐量≥500M，并发连接数≥200万，HTTP新建连接数≥6万。</w:t>
            </w:r>
          </w:p>
          <w:p>
            <w:pPr>
              <w:jc w:val="left"/>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产品支持静态路由、策略路由和多播路由协议，并支持BGP、RIP、OSPF等动态路由协议。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产品支持IPv4/IPv6双栈工作模式，以适应IPv6发展趋势。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▲产品支持僵尸主机检测功能，产品内置僵尸网络特征库超过120万种，可识别主机的异常外联行为。（需提供截图证明并加盖原厂商公章）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产品支持多维度流量控制功能，支持基于IP地址、用户、应用、时间设置流量控制策略，保证关键业务带宽日常需求。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产品支持ftp协议命令控制功能，至少包含delete、rmdir、mkdir、rename、mget、dir、mput、get、put等，保护对外服务不被恶意篡改。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▲产品内置超过4500种WEB应用攻击特征，支持对跨站脚本（XSS）攻击、SQL注入、文件包含攻击、信息泄露攻击、WEBSHELL、网站扫描、网页木马等攻击类型进行防护。（需提供截图证明并加盖原厂商公章）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产品支持X-Forworded-For字段检测，并对非法源IP进行日志记录和联动封锁。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产品支持服务器漏洞防扫描功能，并对扫描源IP进行日志记录和联动封锁。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用户账号全生命周期保护功能，包括用户账号多余入口检测、用户账号弱口令检测、用户账号暴力破解检测、失陷账号检测，防止因账号被暴力破解导致的非法提权情况发生。（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产品支持Cookie攻击防护功能，并通过日志记录Cookie被篡改。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产品支持基于IMAP、FTP、RDP、VNC、SSH、TELNET、ORACLE、MYSQL、MSSQL等应用协议进行深度检测与防护。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▲产品内置超过10000种漏洞规则，同时支持在控制台界面通过漏洞ID、漏洞名称、危险等级、漏洞CVE标识、漏洞描述等条件查询漏洞特征信息，支持用户自定义IPS规则。（需提供截图证明并加盖原厂商公章）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1"/>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▲要求所投产品具备IT产品信息安全认证证书EAL4增强级，提供有效证书复印件。</w:t>
            </w:r>
          </w:p>
        </w:tc>
      </w:tr>
    </w:tbl>
    <w:p>
      <w:pPr>
        <w:rPr>
          <w:color w:val="000000" w:themeColor="text1"/>
          <w:highlight w:val="none"/>
          <w14:textFill>
            <w14:solidFill>
              <w14:schemeClr w14:val="tx1"/>
            </w14:solidFill>
          </w14:textFill>
        </w:rPr>
      </w:pPr>
    </w:p>
    <w:p>
      <w:pPr>
        <w:pStyle w:val="195"/>
        <w:numPr>
          <w:ilvl w:val="0"/>
          <w:numId w:val="29"/>
        </w:numPr>
        <w:ind w:firstLineChars="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等级测评服务</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1、服务内容</w:t>
      </w:r>
    </w:p>
    <w:tbl>
      <w:tblPr>
        <w:tblStyle w:val="48"/>
        <w:tblW w:w="8418"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5"/>
        <w:gridCol w:w="5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5" w:type="dxa"/>
            <w:vAlign w:val="center"/>
          </w:tcPr>
          <w:p>
            <w:pPr>
              <w:spacing w:line="320" w:lineRule="exact"/>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等级测评服务（三级）</w:t>
            </w:r>
          </w:p>
        </w:tc>
        <w:tc>
          <w:tcPr>
            <w:tcW w:w="5343" w:type="dxa"/>
            <w:vAlign w:val="center"/>
          </w:tcPr>
          <w:p>
            <w:pPr>
              <w:spacing w:line="320" w:lineRule="exact"/>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对高清播出系统根据等级保护2.0三级进行等保测评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5" w:type="dxa"/>
            <w:vAlign w:val="center"/>
          </w:tcPr>
          <w:p>
            <w:pPr>
              <w:spacing w:line="320" w:lineRule="exact"/>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等级测评服务（二级）</w:t>
            </w:r>
          </w:p>
        </w:tc>
        <w:tc>
          <w:tcPr>
            <w:tcW w:w="5343" w:type="dxa"/>
            <w:vAlign w:val="center"/>
          </w:tcPr>
          <w:p>
            <w:pPr>
              <w:spacing w:line="320" w:lineRule="exact"/>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对非编系统根据等级保护2.0二级进行等保测评</w:t>
            </w:r>
          </w:p>
        </w:tc>
      </w:tr>
    </w:tbl>
    <w:p>
      <w:pPr>
        <w:pStyle w:val="18"/>
        <w:rPr>
          <w:rFonts w:ascii="宋体" w:hAnsi="宋体" w:eastAsia="宋体" w:cs="宋体"/>
          <w:color w:val="000000" w:themeColor="text1"/>
          <w:highlight w:val="none"/>
          <w14:textFill>
            <w14:solidFill>
              <w14:schemeClr w14:val="tx1"/>
            </w14:solidFill>
          </w14:textFill>
        </w:rPr>
      </w:pPr>
    </w:p>
    <w:p>
      <w:pPr>
        <w:pStyle w:val="18"/>
        <w:rPr>
          <w:rFonts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2、服务参数</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5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tcPr>
          <w:p>
            <w:pPr>
              <w:pStyle w:val="18"/>
              <w:rPr>
                <w:rFonts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功能项</w:t>
            </w:r>
          </w:p>
        </w:tc>
        <w:tc>
          <w:tcPr>
            <w:tcW w:w="5723" w:type="dxa"/>
          </w:tcPr>
          <w:p>
            <w:pPr>
              <w:pStyle w:val="18"/>
              <w:rPr>
                <w:rFonts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功能要求说明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vAlign w:val="center"/>
          </w:tcPr>
          <w:p>
            <w:pPr>
              <w:pStyle w:val="24"/>
              <w:adjustRightInd w:val="0"/>
              <w:snapToGrid w:val="0"/>
              <w:spacing w:before="156" w:line="300" w:lineRule="auto"/>
              <w:jc w:val="center"/>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kern w:val="2"/>
                <w:szCs w:val="24"/>
                <w:highlight w:val="none"/>
                <w14:textFill>
                  <w14:solidFill>
                    <w14:schemeClr w14:val="tx1"/>
                  </w14:solidFill>
                </w14:textFill>
              </w:rPr>
              <w:t>定级</w:t>
            </w:r>
            <w:r>
              <w:rPr>
                <w:rFonts w:hAnsi="宋体" w:cs="宋体"/>
                <w:color w:val="000000" w:themeColor="text1"/>
                <w:kern w:val="2"/>
                <w:szCs w:val="24"/>
                <w:highlight w:val="none"/>
                <w14:textFill>
                  <w14:solidFill>
                    <w14:schemeClr w14:val="tx1"/>
                  </w14:solidFill>
                </w14:textFill>
              </w:rPr>
              <w:t>备案</w:t>
            </w:r>
          </w:p>
        </w:tc>
        <w:tc>
          <w:tcPr>
            <w:tcW w:w="5723" w:type="dxa"/>
            <w:vAlign w:val="center"/>
          </w:tcPr>
          <w:p>
            <w:pPr>
              <w:pStyle w:val="24"/>
              <w:adjustRightInd w:val="0"/>
              <w:snapToGrid w:val="0"/>
              <w:spacing w:before="120" w:line="300" w:lineRule="auto"/>
              <w:jc w:val="left"/>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kern w:val="2"/>
                <w:szCs w:val="24"/>
                <w:highlight w:val="none"/>
                <w14:textFill>
                  <w14:solidFill>
                    <w14:schemeClr w14:val="tx1"/>
                  </w14:solidFill>
                </w14:textFill>
              </w:rPr>
              <w:t>按照《信息系统安全等级保护定级指南》以及《信息安全等级保护管理办法》等文件的要求，协助用户完成信息系统安全等级保护定级备案材料编制工作。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vAlign w:val="center"/>
          </w:tcPr>
          <w:p>
            <w:pPr>
              <w:pStyle w:val="24"/>
              <w:adjustRightInd w:val="0"/>
              <w:snapToGrid w:val="0"/>
              <w:spacing w:before="156" w:line="300" w:lineRule="auto"/>
              <w:jc w:val="center"/>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kern w:val="2"/>
                <w:szCs w:val="24"/>
                <w:highlight w:val="none"/>
                <w14:textFill>
                  <w14:solidFill>
                    <w14:schemeClr w14:val="tx1"/>
                  </w14:solidFill>
                </w14:textFill>
              </w:rPr>
              <w:t>差距测评</w:t>
            </w:r>
          </w:p>
        </w:tc>
        <w:tc>
          <w:tcPr>
            <w:tcW w:w="5723" w:type="dxa"/>
            <w:vAlign w:val="center"/>
          </w:tcPr>
          <w:p>
            <w:pPr>
              <w:pStyle w:val="24"/>
              <w:adjustRightInd w:val="0"/>
              <w:snapToGrid w:val="0"/>
              <w:spacing w:before="120" w:line="300" w:lineRule="auto"/>
              <w:jc w:val="left"/>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根据被测系统安全等级保护定级情况，制定信息系统安全等级保护测评方案，</w:t>
            </w:r>
            <w:r>
              <w:rPr>
                <w:rFonts w:hAnsi="宋体" w:cs="宋体"/>
                <w:color w:val="000000" w:themeColor="text1"/>
                <w:szCs w:val="24"/>
                <w:highlight w:val="none"/>
                <w14:textFill>
                  <w14:solidFill>
                    <w14:schemeClr w14:val="tx1"/>
                  </w14:solidFill>
                </w14:textFill>
              </w:rPr>
              <w:t>对</w:t>
            </w:r>
            <w:r>
              <w:rPr>
                <w:rFonts w:hint="eastAsia" w:hAnsi="宋体" w:cs="宋体"/>
                <w:color w:val="000000" w:themeColor="text1"/>
                <w:szCs w:val="24"/>
                <w:highlight w:val="none"/>
                <w14:textFill>
                  <w14:solidFill>
                    <w14:schemeClr w14:val="tx1"/>
                  </w14:solidFill>
                </w14:textFill>
              </w:rPr>
              <w:t>信息</w:t>
            </w:r>
            <w:r>
              <w:rPr>
                <w:rFonts w:hAnsi="宋体" w:cs="宋体"/>
                <w:color w:val="000000" w:themeColor="text1"/>
                <w:szCs w:val="24"/>
                <w:highlight w:val="none"/>
                <w14:textFill>
                  <w14:solidFill>
                    <w14:schemeClr w14:val="tx1"/>
                  </w14:solidFill>
                </w14:textFill>
              </w:rPr>
              <w:t>系统</w:t>
            </w:r>
            <w:r>
              <w:rPr>
                <w:rFonts w:hint="eastAsia" w:hAnsi="宋体" w:cs="宋体"/>
                <w:color w:val="000000" w:themeColor="text1"/>
                <w:szCs w:val="24"/>
                <w:highlight w:val="none"/>
                <w14:textFill>
                  <w14:solidFill>
                    <w14:schemeClr w14:val="tx1"/>
                  </w14:solidFill>
                </w14:textFill>
              </w:rPr>
              <w:t>涉及</w:t>
            </w:r>
            <w:r>
              <w:rPr>
                <w:rFonts w:hAnsi="宋体" w:cs="宋体"/>
                <w:color w:val="000000" w:themeColor="text1"/>
                <w:szCs w:val="24"/>
                <w:highlight w:val="none"/>
                <w14:textFill>
                  <w14:solidFill>
                    <w14:schemeClr w14:val="tx1"/>
                  </w14:solidFill>
                </w14:textFill>
              </w:rPr>
              <w:t>的机房、网络</w:t>
            </w:r>
            <w:r>
              <w:rPr>
                <w:rFonts w:hint="eastAsia" w:hAnsi="宋体" w:cs="宋体"/>
                <w:color w:val="000000" w:themeColor="text1"/>
                <w:szCs w:val="24"/>
                <w:highlight w:val="none"/>
                <w14:textFill>
                  <w14:solidFill>
                    <w14:schemeClr w14:val="tx1"/>
                  </w14:solidFill>
                </w14:textFill>
              </w:rPr>
              <w:t>/安全</w:t>
            </w:r>
            <w:r>
              <w:rPr>
                <w:rFonts w:hAnsi="宋体" w:cs="宋体"/>
                <w:color w:val="000000" w:themeColor="text1"/>
                <w:szCs w:val="24"/>
                <w:highlight w:val="none"/>
                <w14:textFill>
                  <w14:solidFill>
                    <w14:schemeClr w14:val="tx1"/>
                  </w14:solidFill>
                </w14:textFill>
              </w:rPr>
              <w:t>设备</w:t>
            </w:r>
            <w:r>
              <w:rPr>
                <w:rFonts w:hint="eastAsia" w:hAnsi="宋体" w:cs="宋体"/>
                <w:color w:val="000000" w:themeColor="text1"/>
                <w:szCs w:val="24"/>
                <w:highlight w:val="none"/>
                <w14:textFill>
                  <w14:solidFill>
                    <w14:schemeClr w14:val="tx1"/>
                  </w14:solidFill>
                </w14:textFill>
              </w:rPr>
              <w:t>、</w:t>
            </w:r>
            <w:r>
              <w:rPr>
                <w:rFonts w:hAnsi="宋体" w:cs="宋体"/>
                <w:color w:val="000000" w:themeColor="text1"/>
                <w:szCs w:val="24"/>
                <w:highlight w:val="none"/>
                <w14:textFill>
                  <w14:solidFill>
                    <w14:schemeClr w14:val="tx1"/>
                  </w14:solidFill>
                </w14:textFill>
              </w:rPr>
              <w:t>主机设备、应用系统、安全管理体系等</w:t>
            </w:r>
            <w:r>
              <w:rPr>
                <w:rFonts w:hint="eastAsia" w:hAnsi="宋体" w:cs="宋体"/>
                <w:color w:val="000000" w:themeColor="text1"/>
                <w:szCs w:val="24"/>
                <w:highlight w:val="none"/>
                <w14:textFill>
                  <w14:solidFill>
                    <w14:schemeClr w14:val="tx1"/>
                  </w14:solidFill>
                </w14:textFill>
              </w:rPr>
              <w:t>进行等级保护差距测评，并提交不符合项表和</w:t>
            </w:r>
            <w:r>
              <w:rPr>
                <w:rFonts w:hAnsi="宋体" w:cs="宋体"/>
                <w:color w:val="000000" w:themeColor="text1"/>
                <w:szCs w:val="24"/>
                <w:highlight w:val="none"/>
                <w14:textFill>
                  <w14:solidFill>
                    <w14:schemeClr w14:val="tx1"/>
                  </w14:solidFill>
                </w14:textFill>
              </w:rPr>
              <w:t>整改建议</w:t>
            </w:r>
            <w:r>
              <w:rPr>
                <w:rFonts w:hint="eastAsia" w:hAnsi="宋体" w:cs="宋体"/>
                <w:color w:val="000000" w:themeColor="text1"/>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vAlign w:val="center"/>
          </w:tcPr>
          <w:p>
            <w:pPr>
              <w:pStyle w:val="24"/>
              <w:adjustRightInd w:val="0"/>
              <w:snapToGrid w:val="0"/>
              <w:spacing w:before="156" w:line="300" w:lineRule="auto"/>
              <w:jc w:val="center"/>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kern w:val="2"/>
                <w:szCs w:val="24"/>
                <w:highlight w:val="none"/>
                <w14:textFill>
                  <w14:solidFill>
                    <w14:schemeClr w14:val="tx1"/>
                  </w14:solidFill>
                </w14:textFill>
              </w:rPr>
              <w:t>漏洞扫描</w:t>
            </w:r>
          </w:p>
        </w:tc>
        <w:tc>
          <w:tcPr>
            <w:tcW w:w="5723" w:type="dxa"/>
            <w:vAlign w:val="center"/>
          </w:tcPr>
          <w:p>
            <w:pPr>
              <w:pStyle w:val="24"/>
              <w:adjustRightInd w:val="0"/>
              <w:snapToGrid w:val="0"/>
              <w:spacing w:before="120" w:line="300" w:lineRule="auto"/>
              <w:jc w:val="left"/>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对被测</w:t>
            </w:r>
            <w:r>
              <w:rPr>
                <w:rFonts w:hAnsi="宋体" w:cs="宋体"/>
                <w:color w:val="000000" w:themeColor="text1"/>
                <w:highlight w:val="none"/>
                <w14:textFill>
                  <w14:solidFill>
                    <w14:schemeClr w14:val="tx1"/>
                  </w14:solidFill>
                </w14:textFill>
              </w:rPr>
              <w:t>信息系统</w:t>
            </w:r>
            <w:r>
              <w:rPr>
                <w:rFonts w:hint="eastAsia" w:hAnsi="宋体" w:cs="宋体"/>
                <w:color w:val="000000" w:themeColor="text1"/>
                <w:highlight w:val="none"/>
                <w14:textFill>
                  <w14:solidFill>
                    <w14:schemeClr w14:val="tx1"/>
                  </w14:solidFill>
                </w14:textFill>
              </w:rPr>
              <w:t>服务器</w:t>
            </w:r>
            <w:r>
              <w:rPr>
                <w:rFonts w:hAnsi="宋体" w:cs="宋体"/>
                <w:color w:val="000000" w:themeColor="text1"/>
                <w:highlight w:val="none"/>
                <w14:textFill>
                  <w14:solidFill>
                    <w14:schemeClr w14:val="tx1"/>
                  </w14:solidFill>
                </w14:textFill>
              </w:rPr>
              <w:t>、应用系统进行漏洞扫描</w:t>
            </w:r>
            <w:r>
              <w:rPr>
                <w:rFonts w:hint="eastAsia" w:hAnsi="宋体" w:cs="宋体"/>
                <w:color w:val="000000" w:themeColor="text1"/>
                <w:highlight w:val="none"/>
                <w14:textFill>
                  <w14:solidFill>
                    <w14:schemeClr w14:val="tx1"/>
                  </w14:solidFill>
                </w14:textFill>
              </w:rPr>
              <w:t>，</w:t>
            </w:r>
            <w:r>
              <w:rPr>
                <w:rFonts w:hint="eastAsia" w:hAnsi="宋体" w:cs="宋体"/>
                <w:color w:val="000000" w:themeColor="text1"/>
                <w:szCs w:val="24"/>
                <w:highlight w:val="none"/>
                <w14:textFill>
                  <w14:solidFill>
                    <w14:schemeClr w14:val="tx1"/>
                  </w14:solidFill>
                </w14:textFill>
              </w:rPr>
              <w:t>列出被测信息系统中存在的主要问题以及可能造成的后果，</w:t>
            </w:r>
            <w:r>
              <w:rPr>
                <w:rFonts w:hAnsi="宋体" w:cs="宋体"/>
                <w:color w:val="000000" w:themeColor="text1"/>
                <w:szCs w:val="24"/>
                <w:highlight w:val="none"/>
                <w14:textFill>
                  <w14:solidFill>
                    <w14:schemeClr w14:val="tx1"/>
                  </w14:solidFill>
                </w14:textFill>
              </w:rPr>
              <w:t>并提出整改建议</w:t>
            </w:r>
            <w:r>
              <w:rPr>
                <w:rFonts w:hint="eastAsia" w:hAnsi="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渗透</w:t>
            </w:r>
            <w:r>
              <w:rPr>
                <w:rFonts w:ascii="宋体" w:hAnsi="宋体" w:cs="宋体"/>
                <w:color w:val="000000" w:themeColor="text1"/>
                <w:highlight w:val="none"/>
                <w14:textFill>
                  <w14:solidFill>
                    <w14:schemeClr w14:val="tx1"/>
                  </w14:solidFill>
                </w14:textFill>
              </w:rPr>
              <w:t>测试</w:t>
            </w:r>
          </w:p>
        </w:tc>
        <w:tc>
          <w:tcPr>
            <w:tcW w:w="5723" w:type="dxa"/>
            <w:vAlign w:val="center"/>
          </w:tcPr>
          <w:p>
            <w:pPr>
              <w:rPr>
                <w:rFonts w:ascii="宋体" w:hAnsi="宋体" w:cs="宋体"/>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根据扫描结果进行漏洞分析及说明，对二级互联网信息</w:t>
            </w:r>
            <w:r>
              <w:rPr>
                <w:color w:val="000000" w:themeColor="text1"/>
                <w:highlight w:val="none"/>
                <w14:textFill>
                  <w14:solidFill>
                    <w14:schemeClr w14:val="tx1"/>
                  </w14:solidFill>
                </w14:textFill>
              </w:rPr>
              <w:t>系统</w:t>
            </w:r>
            <w:r>
              <w:rPr>
                <w:rFonts w:hint="eastAsia" w:ascii="宋体" w:hAnsi="宋体" w:cs="宋体"/>
                <w:color w:val="000000" w:themeColor="text1"/>
                <w:highlight w:val="none"/>
                <w14:textFill>
                  <w14:solidFill>
                    <w14:schemeClr w14:val="tx1"/>
                  </w14:solidFill>
                </w14:textFill>
              </w:rPr>
              <w:t>开展渗透测试，</w:t>
            </w:r>
            <w:r>
              <w:rPr>
                <w:rFonts w:hint="eastAsia"/>
                <w:color w:val="000000" w:themeColor="text1"/>
                <w:highlight w:val="none"/>
                <w14:textFill>
                  <w14:solidFill>
                    <w14:schemeClr w14:val="tx1"/>
                  </w14:solidFill>
                </w14:textFill>
              </w:rPr>
              <w:t>进行弱口令测试及其他手工测试，并提交修复建议</w:t>
            </w:r>
            <w:r>
              <w:rPr>
                <w:rFonts w:hint="eastAsia" w:ascii="宋体" w:hAnsi="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vAlign w:val="center"/>
          </w:tcPr>
          <w:p>
            <w:pPr>
              <w:pStyle w:val="24"/>
              <w:adjustRightInd w:val="0"/>
              <w:snapToGrid w:val="0"/>
              <w:spacing w:before="156" w:line="300" w:lineRule="auto"/>
              <w:jc w:val="center"/>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kern w:val="2"/>
                <w:szCs w:val="24"/>
                <w:highlight w:val="none"/>
                <w14:textFill>
                  <w14:solidFill>
                    <w14:schemeClr w14:val="tx1"/>
                  </w14:solidFill>
                </w14:textFill>
              </w:rPr>
              <w:t>验收测评</w:t>
            </w:r>
          </w:p>
        </w:tc>
        <w:tc>
          <w:tcPr>
            <w:tcW w:w="5723" w:type="dxa"/>
            <w:vAlign w:val="center"/>
          </w:tcPr>
          <w:p>
            <w:pPr>
              <w:pStyle w:val="24"/>
              <w:adjustRightInd w:val="0"/>
              <w:snapToGrid w:val="0"/>
              <w:spacing w:line="300" w:lineRule="auto"/>
              <w:jc w:val="left"/>
              <w:rPr>
                <w:rFonts w:hAnsi="宋体" w:cs="宋体"/>
                <w:color w:val="000000" w:themeColor="text1"/>
                <w:kern w:val="2"/>
                <w:szCs w:val="24"/>
                <w:highlight w:val="none"/>
                <w14:textFill>
                  <w14:solidFill>
                    <w14:schemeClr w14:val="tx1"/>
                  </w14:solidFill>
                </w14:textFill>
              </w:rPr>
            </w:pPr>
            <w:r>
              <w:rPr>
                <w:rFonts w:hint="eastAsia" w:hAnsi="宋体" w:cs="宋体"/>
                <w:color w:val="000000" w:themeColor="text1"/>
                <w:kern w:val="2"/>
                <w:szCs w:val="24"/>
                <w:highlight w:val="none"/>
                <w14:textFill>
                  <w14:solidFill>
                    <w14:schemeClr w14:val="tx1"/>
                  </w14:solidFill>
                </w14:textFill>
              </w:rPr>
              <w:t>用户</w:t>
            </w:r>
            <w:r>
              <w:rPr>
                <w:rFonts w:hAnsi="宋体" w:cs="宋体"/>
                <w:color w:val="000000" w:themeColor="text1"/>
                <w:kern w:val="2"/>
                <w:szCs w:val="24"/>
                <w:highlight w:val="none"/>
                <w14:textFill>
                  <w14:solidFill>
                    <w14:schemeClr w14:val="tx1"/>
                  </w14:solidFill>
                </w14:textFill>
              </w:rPr>
              <w:t>完成整改工作后，我中心</w:t>
            </w:r>
            <w:r>
              <w:rPr>
                <w:rFonts w:hint="eastAsia" w:hAnsi="宋体" w:cs="宋体"/>
                <w:color w:val="000000" w:themeColor="text1"/>
                <w:kern w:val="2"/>
                <w:szCs w:val="24"/>
                <w:highlight w:val="none"/>
                <w14:textFill>
                  <w14:solidFill>
                    <w14:schemeClr w14:val="tx1"/>
                  </w14:solidFill>
                </w14:textFill>
              </w:rPr>
              <w:t>依据《信息系统安全等级保护基本要求》及相关</w:t>
            </w:r>
            <w:r>
              <w:rPr>
                <w:rFonts w:hAnsi="宋体" w:cs="宋体"/>
                <w:color w:val="000000" w:themeColor="text1"/>
                <w:kern w:val="2"/>
                <w:szCs w:val="24"/>
                <w:highlight w:val="none"/>
                <w14:textFill>
                  <w14:solidFill>
                    <w14:schemeClr w14:val="tx1"/>
                  </w14:solidFill>
                </w14:textFill>
              </w:rPr>
              <w:t>标准和</w:t>
            </w:r>
            <w:r>
              <w:rPr>
                <w:rFonts w:hint="eastAsia" w:hAnsi="宋体" w:cs="宋体"/>
                <w:color w:val="000000" w:themeColor="text1"/>
                <w:kern w:val="2"/>
                <w:szCs w:val="24"/>
                <w:highlight w:val="none"/>
                <w14:textFill>
                  <w14:solidFill>
                    <w14:schemeClr w14:val="tx1"/>
                  </w14:solidFill>
                </w14:textFill>
              </w:rPr>
              <w:t>要求，对信息</w:t>
            </w:r>
            <w:r>
              <w:rPr>
                <w:rFonts w:hAnsi="宋体" w:cs="宋体"/>
                <w:color w:val="000000" w:themeColor="text1"/>
                <w:kern w:val="2"/>
                <w:szCs w:val="24"/>
                <w:highlight w:val="none"/>
                <w14:textFill>
                  <w14:solidFill>
                    <w14:schemeClr w14:val="tx1"/>
                  </w14:solidFill>
                </w14:textFill>
              </w:rPr>
              <w:t>系统进行验收性测评</w:t>
            </w:r>
            <w:r>
              <w:rPr>
                <w:rFonts w:hint="eastAsia" w:hAnsi="宋体" w:cs="宋体"/>
                <w:color w:val="000000" w:themeColor="text1"/>
                <w:kern w:val="2"/>
                <w:szCs w:val="24"/>
                <w:highlight w:val="none"/>
                <w14:textFill>
                  <w14:solidFill>
                    <w14:schemeClr w14:val="tx1"/>
                  </w14:solidFill>
                </w14:textFill>
              </w:rPr>
              <w:t>，并输出测评报告。</w:t>
            </w:r>
          </w:p>
        </w:tc>
      </w:tr>
    </w:tbl>
    <w:p>
      <w:pPr>
        <w:pStyle w:val="18"/>
        <w:rPr>
          <w:rFonts w:ascii="宋体" w:hAnsi="宋体" w:eastAsia="宋体" w:cs="宋体"/>
          <w:color w:val="000000" w:themeColor="text1"/>
          <w:highlight w:val="none"/>
          <w14:textFill>
            <w14:solidFill>
              <w14:schemeClr w14:val="tx1"/>
            </w14:solidFill>
          </w14:textFill>
        </w:rPr>
      </w:pPr>
    </w:p>
    <w:p>
      <w:pPr>
        <w:pStyle w:val="18"/>
        <w:rPr>
          <w:rFonts w:ascii="宋体" w:hAnsi="宋体" w:eastAsia="宋体" w:cs="宋体"/>
          <w:color w:val="000000" w:themeColor="text1"/>
          <w:highlight w:val="none"/>
          <w14:textFill>
            <w14:solidFill>
              <w14:schemeClr w14:val="tx1"/>
            </w14:solidFill>
          </w14:textFill>
        </w:rPr>
      </w:pPr>
    </w:p>
    <w:p>
      <w:pPr>
        <w:pStyle w:val="18"/>
        <w:rPr>
          <w:rFonts w:ascii="宋体" w:hAnsi="宋体" w:eastAsia="宋体" w:cs="宋体"/>
          <w:b/>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8）</w:t>
      </w:r>
      <w:r>
        <w:rPr>
          <w:rFonts w:hint="eastAsia" w:ascii="宋体" w:hAnsi="宋体" w:eastAsia="宋体" w:cs="宋体"/>
          <w:b/>
          <w:color w:val="000000" w:themeColor="text1"/>
          <w:highlight w:val="none"/>
          <w14:textFill>
            <w14:solidFill>
              <w14:schemeClr w14:val="tx1"/>
            </w14:solidFill>
          </w14:textFill>
        </w:rPr>
        <w:t>终端安全管理系统</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restart"/>
          </w:tcPr>
          <w:p>
            <w:pPr>
              <w:jc w:val="center"/>
              <w:rPr>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终端安全管理系统</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含PC终端≥100点，服务器≥10点。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rFonts w:ascii="宋体" w:hAnsi="宋体" w:eastAsia="宋体" w:cs="宋体"/>
                <w:b/>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产品可以纯软件交付，包含管理控制中心软件及终端客户端软件，其中管理控制中心可云化部署；同时也支持硬件管理平台交付管理平台支持在64位的Centos7或ubuntu操作系统环境部署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rFonts w:ascii="宋体" w:hAnsi="宋体" w:eastAsia="宋体" w:cs="宋体"/>
                <w:b/>
                <w:color w:val="000000" w:themeColor="text1"/>
                <w:highlight w:val="none"/>
                <w14:textFill>
                  <w14:solidFill>
                    <w14:schemeClr w14:val="tx1"/>
                  </w14:solidFill>
                </w14:textFill>
              </w:rPr>
            </w:pPr>
          </w:p>
        </w:tc>
        <w:tc>
          <w:tcPr>
            <w:tcW w:w="5727" w:type="dxa"/>
          </w:tcPr>
          <w:p>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产品需支持以下客户端：Windows XP/Windows Vista/Windows 7/Windows 8/Windows 8.1/Windows 10 </w:t>
            </w:r>
          </w:p>
          <w:p>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M</w:t>
            </w:r>
            <w:r>
              <w:rPr>
                <w:rFonts w:ascii="宋体" w:hAnsi="宋体" w:eastAsia="宋体" w:cs="宋体"/>
                <w:color w:val="000000" w:themeColor="text1"/>
                <w:szCs w:val="21"/>
                <w:highlight w:val="none"/>
                <w14:textFill>
                  <w14:solidFill>
                    <w14:schemeClr w14:val="tx1"/>
                  </w14:solidFill>
                </w14:textFill>
              </w:rPr>
              <w:t>AC 11.0/10.13/10.14/10.15</w:t>
            </w:r>
          </w:p>
          <w:p>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Windows Server 2003/Windows Server 2008/Windows Server 2008 R2/Windows Server 2012/Windows Server 2016，</w:t>
            </w:r>
          </w:p>
          <w:p>
            <w:pPr>
              <w:jc w:val="left"/>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CentOS/Ubuntu/Debian/RHEL/SUSE/Red Flag Asianux Server/Oracle Linux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产品需支持全网风险展示，包括但不限于未处理的勒索病毒数量、暴力破解数量、WebShell后门数量、高危漏洞及其各自影响的终端数量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▲产品需支持提供勒索病毒整体防护体系入口，直观展示最近七天勒索病毒防护效果，包括已处置的勒索病毒数量、已阻止的勒索病毒行为次数、已阻止的未知进程操作次数、已阻止的暴力破解攻击次数 （提供界面截图证明并加盖厂商公章）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▲产品需支持终端客户端软件的启用禁用，统一重启和卸载客户端软件（提供界面截图证明并加盖厂商公章）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安全策略一体化配置，通过单一策略即可实现不同安全功能的配置，包括：终端病毒查杀的文件扫描配置、文件实时监控的参数配置、WebShell检测和威胁处置方式、暴力破解的威胁处置方式和Windows白名单信任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▲产品需支持客户端的错峰升级或灰度升级，可根据实际情况控制客户端同时升级的最大数量，避免大量终端程序同时更新造成网络拥堵或I/O风暴（提供界面截图证明并加盖厂商公章）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产品需具备基于人工智能的检测引擎，支持无特征检测技术，有效应对恶意代码及其变种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产品需具备基于本地缓存信誉检测与全网信誉检测，构建企业全网信誉库的检测引擎，做到企业内网一台威胁，全网感知并进行针对性查杀，支持处置病毒时选择是否在其它终端上同步处置有效提升查杀效率，减少终端资源开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产品需具备针对最新未知的文件，使用IOC特征（文件hash、dns、url、ip等）的技术，进行云端查询。云端的安全中心，使用大数据分析平台，基于多维威胁情报、云端沙箱技术、多引擎扩展的检测技术等，秒级响应未知文件的检测结果，构架公有云云查体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支持windows服务器RDP远程登录保护，可开启RDP远程登录二次认证，以防止黑客对服务器的入侵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基于勒索病毒攻击过程，建立多维度立体防护机制，提供事前入侵防御-事中反加密-事后检测响应的完整防护体系，展示勒索病毒处置情况，对勒索病毒及变种实现专门有效防御（提供界面截图证明并加盖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产品需支持用户直接对勒索病毒的家族名、病毒名、加密文件后缀名执行链接查询，可通过直接上传加密文件的方式确定勒索病毒类型，如果能解密可以提供必要的解密工具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产品需提供挖矿病毒巡检工具，支持通过内存、进程和启动项来检索病毒相关信息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产品需支持展示终端检测到的暴力破解事件及事件详情，包括：攻击源、攻击类型、最后攻击时间、发现方式、攻击内容、攻击历史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一键式操作对指定终端/终端组进行合规性检查，包括身份鉴别、访问控制、安全审计、剩余信息保护、入侵防范、恶意代码防范，对不合规的检查项提供设置建议，并可视化展示终端的基线合规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产品需支持对系统高危端口执行一键封堵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32"/>
              </w:numPr>
              <w:jc w:val="center"/>
              <w:rPr>
                <w:color w:val="000000" w:themeColor="text1"/>
                <w:highlight w:val="none"/>
                <w14:textFill>
                  <w14:solidFill>
                    <w14:schemeClr w14:val="tx1"/>
                  </w14:solidFill>
                </w14:textFill>
              </w:rPr>
            </w:pP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需支持对系统账号信息进行梳理，了解账号权限分布概况以及风险账号分布情况，可按照隐藏账号、弱密码账号、可疑root权限账号、长期未使用账号、夜间登录、多IP登录进行账号分类查看，支持统计最近一年未修改密码的账户</w:t>
            </w:r>
          </w:p>
        </w:tc>
      </w:tr>
    </w:tbl>
    <w:p>
      <w:pPr>
        <w:pStyle w:val="18"/>
        <w:rPr>
          <w:rFonts w:ascii="宋体" w:hAnsi="宋体" w:eastAsia="宋体" w:cs="宋体"/>
          <w:b/>
          <w:color w:val="000000" w:themeColor="text1"/>
          <w:highlight w:val="none"/>
          <w14:textFill>
            <w14:solidFill>
              <w14:schemeClr w14:val="tx1"/>
            </w14:solidFill>
          </w14:textFill>
        </w:rPr>
      </w:pPr>
    </w:p>
    <w:p>
      <w:pPr>
        <w:numPr>
          <w:ilvl w:val="0"/>
          <w:numId w:val="33"/>
        </w:numPr>
        <w:rPr>
          <w:color w:val="000000" w:themeColor="text1"/>
          <w:highlight w:val="none"/>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杀毒软件</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909"/>
        <w:gridCol w:w="5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909"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产品名称</w:t>
            </w:r>
          </w:p>
        </w:tc>
        <w:tc>
          <w:tcPr>
            <w:tcW w:w="5727" w:type="dxa"/>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886" w:type="dxa"/>
          </w:tcPr>
          <w:p>
            <w:pPr>
              <w:numPr>
                <w:ilvl w:val="0"/>
                <w:numId w:val="0"/>
              </w:numPr>
              <w:ind w:leftChars="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909" w:type="dxa"/>
            <w:vMerge w:val="restart"/>
          </w:tcPr>
          <w:p>
            <w:pPr>
              <w:numPr>
                <w:ilvl w:val="0"/>
                <w:numId w:val="0"/>
              </w:numPr>
              <w:jc w:val="center"/>
              <w:rPr>
                <w:color w:val="000000" w:themeColor="text1"/>
                <w:highlight w:val="none"/>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杀毒软件</w:t>
            </w: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产品支持IPv4/IPv6双栈工作模式，以适应IPv6发展趋势。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0"/>
              </w:numPr>
              <w:ind w:leftChars="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▲产品支持僵尸主机检测功能，产品内置僵尸网络特征库超过120万种，可识别主机的异常外联行为。（需提供截图证明并加盖原厂商公章）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0"/>
              </w:numPr>
              <w:ind w:leftChars="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产品支持多维度流量控制功能，支持基于IP地址、用户、应用、时间设置流量控制策略，保证关键业务带宽日常需求。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0"/>
              </w:numPr>
              <w:ind w:leftChars="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产品支持ftp协议命令控制功能，至少包含delete、rmdir、mkdir、rename、mget、dir、mput、get、put等，保护对外服务不被恶意篡改。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numPr>
                <w:ilvl w:val="0"/>
                <w:numId w:val="0"/>
              </w:numPr>
              <w:ind w:leftChars="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▲产品内置超过4500种WEB应用攻击特征，支持对跨站脚本（XSS）攻击、SQL注入、文件包含攻击、信息泄露攻击、WEBSHELL、网站扫描、网页木马等攻击类型进行防护。（需提供截图证明并加盖原厂商公章）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产品支持X-Forworded-For字段检测，并对非法源IP进行日志记录和联动封锁。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产品支持服务器漏洞防扫描功能，并对扫描源IP进行日志记录和联动封锁。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1909" w:type="dxa"/>
            <w:vMerge w:val="continue"/>
          </w:tcPr>
          <w:p>
            <w:pPr>
              <w:jc w:val="center"/>
              <w:rPr>
                <w:color w:val="000000" w:themeColor="text1"/>
                <w:highlight w:val="none"/>
                <w14:textFill>
                  <w14:solidFill>
                    <w14:schemeClr w14:val="tx1"/>
                  </w14:solidFill>
                </w14:textFill>
              </w:rPr>
            </w:pPr>
          </w:p>
        </w:tc>
        <w:tc>
          <w:tcPr>
            <w:tcW w:w="5727" w:type="dxa"/>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用户账号全生命周期保护功能，包括用户账号多余入口检测、用户账号弱口令检测、用户账号暴力破解检测、失陷账号检测，防止因账号被暴力破解导致的非法提权情况发生。（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1909" w:type="dxa"/>
            <w:vMerge w:val="continue"/>
          </w:tcPr>
          <w:p>
            <w:pPr>
              <w:jc w:val="center"/>
              <w:rPr>
                <w:color w:val="000000" w:themeColor="text1"/>
                <w:highlight w:val="none"/>
                <w14:textFill>
                  <w14:solidFill>
                    <w14:schemeClr w14:val="tx1"/>
                  </w14:solidFill>
                </w14:textFill>
              </w:rPr>
            </w:pPr>
          </w:p>
        </w:tc>
        <w:tc>
          <w:tcPr>
            <w:tcW w:w="5727" w:type="dxa"/>
            <w:vMerge w:val="restart"/>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产品支持Cookie攻击防护功能，并通过日志记录Cookie被篡改。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1909" w:type="dxa"/>
            <w:vMerge w:val="continue"/>
          </w:tcPr>
          <w:p>
            <w:pPr>
              <w:jc w:val="center"/>
              <w:rPr>
                <w:color w:val="000000" w:themeColor="text1"/>
                <w:highlight w:val="none"/>
                <w14:textFill>
                  <w14:solidFill>
                    <w14:schemeClr w14:val="tx1"/>
                  </w14:solidFill>
                </w14:textFill>
              </w:rPr>
            </w:pPr>
          </w:p>
        </w:tc>
        <w:tc>
          <w:tcPr>
            <w:tcW w:w="5727" w:type="dxa"/>
            <w:vMerge w:val="continue"/>
          </w:tcPr>
          <w:p>
            <w:pPr>
              <w:jc w:val="left"/>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1909" w:type="dxa"/>
            <w:vMerge w:val="continue"/>
          </w:tcPr>
          <w:p>
            <w:pPr>
              <w:jc w:val="center"/>
              <w:rPr>
                <w:color w:val="000000" w:themeColor="text1"/>
                <w:highlight w:val="none"/>
                <w14:textFill>
                  <w14:solidFill>
                    <w14:schemeClr w14:val="tx1"/>
                  </w14:solidFill>
                </w14:textFill>
              </w:rPr>
            </w:pPr>
          </w:p>
        </w:tc>
        <w:tc>
          <w:tcPr>
            <w:tcW w:w="5727" w:type="dxa"/>
            <w:vMerge w:val="restart"/>
          </w:tcPr>
          <w:p>
            <w:pPr>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▲产品内置超过10000种漏洞规则，同时支持在控制台界面通过漏洞ID、漏洞名称、危险等级、漏洞CVE标识、漏洞描述等条件查询漏洞特征信息，支持用户自定义IPS规则。（需提供截图证明并加盖原厂商公章）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6" w:type="dxa"/>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12</w:t>
            </w:r>
          </w:p>
        </w:tc>
        <w:tc>
          <w:tcPr>
            <w:tcW w:w="1909" w:type="dxa"/>
            <w:vMerge w:val="continue"/>
          </w:tcPr>
          <w:p>
            <w:pPr>
              <w:jc w:val="center"/>
              <w:rPr>
                <w:color w:val="000000" w:themeColor="text1"/>
                <w:highlight w:val="none"/>
                <w14:textFill>
                  <w14:solidFill>
                    <w14:schemeClr w14:val="tx1"/>
                  </w14:solidFill>
                </w14:textFill>
              </w:rPr>
            </w:pPr>
          </w:p>
        </w:tc>
        <w:tc>
          <w:tcPr>
            <w:tcW w:w="5727" w:type="dxa"/>
            <w:vMerge w:val="continue"/>
          </w:tcPr>
          <w:p>
            <w:pPr>
              <w:jc w:val="left"/>
              <w:rPr>
                <w:color w:val="000000" w:themeColor="text1"/>
                <w:highlight w:val="none"/>
                <w14:textFill>
                  <w14:solidFill>
                    <w14:schemeClr w14:val="tx1"/>
                  </w14:solidFill>
                </w14:textFill>
              </w:rPr>
            </w:pPr>
          </w:p>
        </w:tc>
      </w:tr>
    </w:tbl>
    <w:p>
      <w:pPr>
        <w:pStyle w:val="18"/>
        <w:rPr>
          <w:rFonts w:ascii="宋体" w:hAnsi="宋体" w:eastAsia="宋体" w:cs="宋体"/>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rPr>
          <w:color w:val="000000" w:themeColor="text1"/>
          <w:highlight w:val="none"/>
          <w14:textFill>
            <w14:solidFill>
              <w14:schemeClr w14:val="tx1"/>
            </w14:solidFill>
          </w14:textFill>
        </w:rPr>
      </w:pPr>
    </w:p>
    <w:p>
      <w:pPr>
        <w:pStyle w:val="2"/>
        <w:numPr>
          <w:ilvl w:val="0"/>
          <w:numId w:val="0"/>
        </w:numPr>
        <w:spacing w:beforeLines="0" w:line="240" w:lineRule="auto"/>
        <w:rPr>
          <w:color w:val="000000" w:themeColor="text1"/>
          <w:highlight w:val="none"/>
          <w14:textFill>
            <w14:solidFill>
              <w14:schemeClr w14:val="tx1"/>
            </w14:solidFill>
          </w14:textFill>
        </w:rPr>
      </w:pPr>
      <w:bookmarkStart w:id="126" w:name="_Toc1301"/>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26"/>
    </w:p>
    <w:p>
      <w:pPr>
        <w:pStyle w:val="3"/>
        <w:numPr>
          <w:ilvl w:val="0"/>
          <w:numId w:val="0"/>
        </w:numPr>
        <w:rPr>
          <w:color w:val="000000" w:themeColor="text1"/>
          <w:szCs w:val="21"/>
          <w:highlight w:val="none"/>
          <w14:textFill>
            <w14:solidFill>
              <w14:schemeClr w14:val="tx1"/>
            </w14:solidFill>
          </w14:textFill>
        </w:rPr>
      </w:pPr>
      <w:bookmarkStart w:id="127" w:name="_Toc3002"/>
      <w:bookmarkStart w:id="128" w:name="_Toc456272919"/>
      <w:bookmarkStart w:id="129" w:name="_Toc456648358"/>
      <w:bookmarkStart w:id="130" w:name="_Toc434832495"/>
      <w:r>
        <w:rPr>
          <w:rFonts w:hint="eastAsia"/>
          <w:color w:val="000000" w:themeColor="text1"/>
          <w:szCs w:val="21"/>
          <w:highlight w:val="none"/>
          <w14:textFill>
            <w14:solidFill>
              <w14:schemeClr w14:val="tx1"/>
            </w14:solidFill>
          </w14:textFill>
        </w:rPr>
        <w:t>投标人须知前附表</w:t>
      </w:r>
      <w:bookmarkEnd w:id="127"/>
      <w:bookmarkEnd w:id="128"/>
      <w:bookmarkEnd w:id="129"/>
      <w:bookmarkEnd w:id="130"/>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bookmarkStart w:id="131" w:name="_Hlt21938665"/>
            <w:bookmarkEnd w:id="131"/>
            <w:bookmarkStart w:id="132" w:name="_Hlt21938668"/>
            <w:bookmarkEnd w:id="132"/>
            <w:bookmarkStart w:id="133" w:name="_Toc339020201"/>
            <w:bookmarkStart w:id="134" w:name="_Toc345513835"/>
            <w:bookmarkStart w:id="135" w:name="_Toc339441055"/>
            <w:bookmarkStart w:id="136" w:name="_Toc350438717"/>
            <w:bookmarkStart w:id="137" w:name="_Toc330459953"/>
            <w:bookmarkStart w:id="138" w:name="_Toc340507410"/>
            <w:bookmarkStart w:id="139" w:name="_Toc365967041"/>
            <w:bookmarkStart w:id="140" w:name="_Toc333237756"/>
            <w:bookmarkStart w:id="141" w:name="_Toc349127594"/>
            <w:bookmarkStart w:id="142" w:name="_Toc503785396"/>
            <w:bookmarkStart w:id="143" w:name="_Toc342060342"/>
            <w:bookmarkStart w:id="144" w:name="_Toc339019857"/>
            <w:bookmarkStart w:id="145" w:name="_Toc497224194"/>
            <w:bookmarkStart w:id="146" w:name="_Toc333237645"/>
            <w:bookmarkStart w:id="147" w:name="_Toc342296728"/>
            <w:bookmarkStart w:id="148" w:name="_Toc331684006"/>
            <w:bookmarkStart w:id="149" w:name="_Toc336681548"/>
            <w:bookmarkStart w:id="150" w:name="_Toc341348306"/>
            <w:bookmarkStart w:id="151" w:name="_Toc337632326"/>
            <w:bookmarkStart w:id="152" w:name="_Toc333935655"/>
            <w:bookmarkStart w:id="153" w:name="_Toc366072496"/>
            <w:bookmarkStart w:id="154" w:name="_Toc339362268"/>
            <w:bookmarkStart w:id="155" w:name="_Toc336681903"/>
            <w:bookmarkStart w:id="156" w:name="_Toc350756418"/>
            <w:bookmarkStart w:id="157" w:name="_Toc339020063"/>
            <w:bookmarkStart w:id="158" w:name="_Toc340672837"/>
            <w:bookmarkStart w:id="159" w:name="_Toc339019983"/>
            <w:bookmarkStart w:id="160" w:name="_Toc332270314"/>
            <w:bookmarkStart w:id="161" w:name="_Toc331512866"/>
            <w:bookmarkStart w:id="162" w:name="_Toc349143557"/>
            <w:bookmarkStart w:id="163" w:name="_Toc365985147"/>
            <w:bookmarkStart w:id="164" w:name="_Toc332206676"/>
            <w:bookmarkStart w:id="165" w:name="_Toc340677038"/>
            <w:bookmarkStart w:id="166" w:name="_Toc333238601"/>
            <w:bookmarkStart w:id="167" w:name="_Toc333935314"/>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r>
              <w:rPr>
                <w:rFonts w:hint="eastAsia" w:ascii="宋体" w:hAnsi="宋体"/>
                <w:b/>
                <w:bCs/>
                <w:color w:val="000000" w:themeColor="text1"/>
                <w:szCs w:val="21"/>
                <w:highlight w:val="none"/>
                <w:lang w:val="en-US" w:eastAsia="zh-CN"/>
                <w14:textFill>
                  <w14:solidFill>
                    <w14:schemeClr w14:val="tx1"/>
                  </w14:solidFill>
                </w14:textFill>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3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（内含“开标一览表”、“投标保证金”、“分项报价表”、“保证金退付书”、“法定代表人（负责人）证明书”和“法定代表人（负责人）授权书”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4"/>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4"/>
        <w:ind w:left="0" w:leftChars="0" w:firstLine="0" w:firstLineChars="0"/>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3"/>
        <w:numPr>
          <w:ilvl w:val="0"/>
          <w:numId w:val="0"/>
        </w:numPr>
        <w:rPr>
          <w:color w:val="000000" w:themeColor="text1"/>
          <w:sz w:val="24"/>
          <w:highlight w:val="none"/>
          <w14:textFill>
            <w14:solidFill>
              <w14:schemeClr w14:val="tx1"/>
            </w14:solidFill>
          </w14:textFill>
        </w:rPr>
      </w:pPr>
      <w:bookmarkStart w:id="168" w:name="_Toc4705"/>
      <w:r>
        <w:rPr>
          <w:rFonts w:hint="eastAsia"/>
          <w:color w:val="000000" w:themeColor="text1"/>
          <w:sz w:val="24"/>
          <w:highlight w:val="none"/>
          <w14:textFill>
            <w14:solidFill>
              <w14:schemeClr w14:val="tx1"/>
            </w14:solidFill>
          </w14:textFill>
        </w:rPr>
        <w:t>Ａ</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说</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明</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69" w:name="_Toc497224195"/>
      <w:bookmarkStart w:id="170" w:name="_Toc503785397"/>
      <w:bookmarkStart w:id="171" w:name="_Toc332270315"/>
      <w:bookmarkStart w:id="172" w:name="_Toc333935315"/>
      <w:bookmarkStart w:id="173" w:name="_Toc333935656"/>
      <w:bookmarkStart w:id="174" w:name="_Toc342296729"/>
      <w:bookmarkStart w:id="175" w:name="_Toc336681549"/>
      <w:bookmarkStart w:id="176" w:name="_Toc15123"/>
      <w:bookmarkStart w:id="177" w:name="_Toc350756419"/>
      <w:bookmarkStart w:id="178" w:name="_Toc340672838"/>
      <w:bookmarkStart w:id="179" w:name="_Toc349127595"/>
      <w:bookmarkStart w:id="180" w:name="_Toc365985148"/>
      <w:bookmarkStart w:id="181" w:name="_Toc339019984"/>
      <w:bookmarkStart w:id="182" w:name="_Toc331512867"/>
      <w:bookmarkStart w:id="183" w:name="_Toc333238602"/>
      <w:bookmarkStart w:id="184" w:name="_Toc341348307"/>
      <w:bookmarkStart w:id="185" w:name="_Toc331684007"/>
      <w:bookmarkStart w:id="186" w:name="_Toc333237646"/>
      <w:bookmarkStart w:id="187" w:name="_Toc339441056"/>
      <w:bookmarkStart w:id="188" w:name="_Toc337632327"/>
      <w:bookmarkStart w:id="189" w:name="_Toc345513836"/>
      <w:bookmarkStart w:id="190" w:name="_Toc336681904"/>
      <w:bookmarkStart w:id="191" w:name="_Toc339019858"/>
      <w:bookmarkStart w:id="192" w:name="_Toc365967042"/>
      <w:bookmarkStart w:id="193" w:name="_Toc349143558"/>
      <w:bookmarkStart w:id="194" w:name="_Toc339020202"/>
      <w:bookmarkStart w:id="195" w:name="_Toc339020064"/>
      <w:bookmarkStart w:id="196" w:name="_Toc333237757"/>
      <w:bookmarkStart w:id="197" w:name="_Toc342060343"/>
      <w:bookmarkStart w:id="198" w:name="_Toc350438718"/>
      <w:bookmarkStart w:id="199" w:name="_Toc330459954"/>
      <w:bookmarkStart w:id="200" w:name="_Toc340677039"/>
      <w:bookmarkStart w:id="201" w:name="_Toc366072497"/>
      <w:bookmarkStart w:id="202" w:name="_Toc339362269"/>
      <w:bookmarkStart w:id="203" w:name="_Toc332206677"/>
      <w:bookmarkStart w:id="204" w:name="_Toc340507411"/>
      <w:r>
        <w:rPr>
          <w:rFonts w:hint="eastAsia"/>
          <w:color w:val="000000" w:themeColor="text1"/>
          <w:highlight w:val="none"/>
          <w14:textFill>
            <w14:solidFill>
              <w14:schemeClr w14:val="tx1"/>
            </w14:solidFill>
          </w14:textFill>
        </w:rPr>
        <w:t>适用范围</w:t>
      </w:r>
      <w:bookmarkEnd w:id="169"/>
      <w:bookmarkEnd w:id="170"/>
      <w:r>
        <w:rPr>
          <w:rFonts w:hint="eastAsia"/>
          <w:color w:val="000000" w:themeColor="text1"/>
          <w:highlight w:val="none"/>
          <w14:textFill>
            <w14:solidFill>
              <w14:schemeClr w14:val="tx1"/>
            </w14:solidFill>
          </w14:textFill>
        </w:rPr>
        <w:t>和资金来源</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205" w:name="_Toc341348308"/>
      <w:bookmarkStart w:id="206" w:name="_Toc349127596"/>
      <w:bookmarkStart w:id="207" w:name="_Toc333237647"/>
      <w:bookmarkStart w:id="208" w:name="_Toc374454571"/>
      <w:bookmarkStart w:id="209" w:name="_Toc330459955"/>
      <w:bookmarkStart w:id="210" w:name="_Toc497224196"/>
      <w:bookmarkStart w:id="211" w:name="_Toc503785398"/>
      <w:bookmarkStart w:id="212" w:name="_Toc350756420"/>
      <w:bookmarkStart w:id="213" w:name="_Toc366072498"/>
      <w:bookmarkStart w:id="214" w:name="_Toc339020203"/>
      <w:bookmarkStart w:id="215" w:name="_Toc339362270"/>
      <w:bookmarkStart w:id="216" w:name="_Toc340672839"/>
      <w:bookmarkStart w:id="217" w:name="_Toc350438719"/>
      <w:bookmarkStart w:id="218" w:name="_Toc340507412"/>
      <w:bookmarkStart w:id="219" w:name="_Toc339020065"/>
      <w:bookmarkStart w:id="220" w:name="_Toc336681905"/>
      <w:bookmarkStart w:id="221" w:name="_Toc349143559"/>
      <w:bookmarkStart w:id="222" w:name="_Toc342060344"/>
      <w:bookmarkStart w:id="223" w:name="_Toc365967043"/>
      <w:bookmarkStart w:id="224" w:name="_Toc336681550"/>
      <w:bookmarkStart w:id="225" w:name="_Toc339441057"/>
      <w:bookmarkStart w:id="226" w:name="_Toc333935316"/>
      <w:bookmarkStart w:id="227" w:name="_Toc337632328"/>
      <w:bookmarkStart w:id="228" w:name="_Toc332270316"/>
      <w:bookmarkStart w:id="229" w:name="_Toc331684008"/>
      <w:bookmarkStart w:id="230" w:name="_Toc345513837"/>
      <w:bookmarkStart w:id="231" w:name="_Toc332206678"/>
      <w:bookmarkStart w:id="232" w:name="_Toc339019859"/>
      <w:bookmarkStart w:id="233" w:name="_Toc331512868"/>
      <w:bookmarkStart w:id="234" w:name="_Toc342296730"/>
      <w:bookmarkStart w:id="235" w:name="_Toc333935657"/>
      <w:bookmarkStart w:id="236" w:name="_Toc339019985"/>
      <w:bookmarkStart w:id="237" w:name="_Toc340677040"/>
      <w:bookmarkStart w:id="238" w:name="_Toc333237758"/>
      <w:bookmarkStart w:id="239" w:name="_Toc365985149"/>
      <w:bookmarkStart w:id="240" w:name="_Toc333238603"/>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241" w:name="_Toc9658"/>
      <w:r>
        <w:rPr>
          <w:rFonts w:hint="eastAsia"/>
          <w:color w:val="000000" w:themeColor="text1"/>
          <w:highlight w:val="none"/>
          <w14:textFill>
            <w14:solidFill>
              <w14:schemeClr w14:val="tx1"/>
            </w14:solidFill>
          </w14:textFill>
        </w:rPr>
        <w:t>定义</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阳江市阳东区融媒体中心</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3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3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3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242" w:name="_Toc497224197"/>
      <w:bookmarkStart w:id="243" w:name="_Toc503785399"/>
      <w:bookmarkStart w:id="244" w:name="_Toc333237648"/>
      <w:bookmarkStart w:id="245" w:name="_Toc339019986"/>
      <w:bookmarkStart w:id="246" w:name="_Toc340677041"/>
      <w:bookmarkStart w:id="247" w:name="_Toc332206679"/>
      <w:bookmarkStart w:id="248" w:name="_Toc339362271"/>
      <w:bookmarkStart w:id="249" w:name="_Toc330459956"/>
      <w:bookmarkStart w:id="250" w:name="_Toc341348309"/>
      <w:bookmarkStart w:id="251" w:name="_Toc331512869"/>
      <w:bookmarkStart w:id="252" w:name="_Toc333935658"/>
      <w:bookmarkStart w:id="253" w:name="_Toc333238604"/>
      <w:bookmarkStart w:id="254" w:name="_Toc10113"/>
      <w:bookmarkStart w:id="255" w:name="_Toc349143560"/>
      <w:bookmarkStart w:id="256" w:name="_Toc337632329"/>
      <w:bookmarkStart w:id="257" w:name="_Toc340507413"/>
      <w:bookmarkStart w:id="258" w:name="_Toc342060345"/>
      <w:bookmarkStart w:id="259" w:name="_Toc339020204"/>
      <w:bookmarkStart w:id="260" w:name="_Toc366072499"/>
      <w:bookmarkStart w:id="261" w:name="_Toc350756421"/>
      <w:bookmarkStart w:id="262" w:name="_Toc345513838"/>
      <w:bookmarkStart w:id="263" w:name="_Toc339020066"/>
      <w:bookmarkStart w:id="264" w:name="_Toc333237759"/>
      <w:bookmarkStart w:id="265" w:name="_Toc374454572"/>
      <w:bookmarkStart w:id="266" w:name="_Toc340672840"/>
      <w:bookmarkStart w:id="267" w:name="_Toc365967044"/>
      <w:bookmarkStart w:id="268" w:name="_Toc336681551"/>
      <w:bookmarkStart w:id="269" w:name="_Toc350438720"/>
      <w:bookmarkStart w:id="270" w:name="_Toc339441058"/>
      <w:bookmarkStart w:id="271" w:name="_Toc332270317"/>
      <w:bookmarkStart w:id="272" w:name="_Toc342296731"/>
      <w:bookmarkStart w:id="273" w:name="_Toc333935317"/>
      <w:bookmarkStart w:id="274" w:name="_Toc349127597"/>
      <w:bookmarkStart w:id="275" w:name="_Toc336681906"/>
      <w:bookmarkStart w:id="276" w:name="_Toc365985150"/>
      <w:bookmarkStart w:id="277" w:name="_Toc331684009"/>
      <w:bookmarkStart w:id="278" w:name="_Toc339019860"/>
      <w:r>
        <w:rPr>
          <w:rFonts w:hint="eastAsia"/>
          <w:color w:val="000000" w:themeColor="text1"/>
          <w:highlight w:val="none"/>
          <w14:textFill>
            <w14:solidFill>
              <w14:schemeClr w14:val="tx1"/>
            </w14:solidFill>
          </w14:textFill>
        </w:rPr>
        <w:t>合格的</w:t>
      </w:r>
      <w:bookmarkEnd w:id="242"/>
      <w:bookmarkEnd w:id="243"/>
      <w:r>
        <w:rPr>
          <w:rFonts w:hint="eastAsia"/>
          <w:color w:val="000000" w:themeColor="text1"/>
          <w:highlight w:val="none"/>
          <w14:textFill>
            <w14:solidFill>
              <w14:schemeClr w14:val="tx1"/>
            </w14:solidFill>
          </w14:textFill>
        </w:rPr>
        <w:t>投标人</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279" w:name="_Toc337632330"/>
      <w:bookmarkStart w:id="280" w:name="_Toc366072500"/>
      <w:bookmarkStart w:id="281" w:name="_Toc497224198"/>
      <w:bookmarkStart w:id="282" w:name="_Toc339019987"/>
      <w:bookmarkStart w:id="283" w:name="_Toc340507414"/>
      <w:bookmarkStart w:id="284" w:name="_Toc342296732"/>
      <w:bookmarkStart w:id="285" w:name="_Toc333238605"/>
      <w:bookmarkStart w:id="286" w:name="_Toc340672841"/>
      <w:bookmarkStart w:id="287" w:name="_Toc342060346"/>
      <w:bookmarkStart w:id="288" w:name="_Toc332270318"/>
      <w:bookmarkStart w:id="289" w:name="_Toc332206680"/>
      <w:bookmarkStart w:id="290" w:name="_Toc333237649"/>
      <w:bookmarkStart w:id="291" w:name="_Toc349143561"/>
      <w:bookmarkStart w:id="292" w:name="_Toc333935318"/>
      <w:bookmarkStart w:id="293" w:name="_Toc341348310"/>
      <w:bookmarkStart w:id="294" w:name="_Toc339020067"/>
      <w:bookmarkStart w:id="295" w:name="_Toc339019861"/>
      <w:bookmarkStart w:id="296" w:name="_Toc339020205"/>
      <w:bookmarkStart w:id="297" w:name="_Toc330459957"/>
      <w:bookmarkStart w:id="298" w:name="_Toc19746"/>
      <w:bookmarkStart w:id="299" w:name="_Toc350756422"/>
      <w:bookmarkStart w:id="300" w:name="_Toc336681907"/>
      <w:bookmarkStart w:id="301" w:name="_Toc374454573"/>
      <w:bookmarkStart w:id="302" w:name="_Toc350438721"/>
      <w:bookmarkStart w:id="303" w:name="_Toc331512870"/>
      <w:bookmarkStart w:id="304" w:name="_Toc349127598"/>
      <w:bookmarkStart w:id="305" w:name="_Toc339441059"/>
      <w:bookmarkStart w:id="306" w:name="_Toc331684010"/>
      <w:bookmarkStart w:id="307" w:name="_Toc345513839"/>
      <w:bookmarkStart w:id="308" w:name="_Toc340677042"/>
      <w:bookmarkStart w:id="309" w:name="_Toc503785400"/>
      <w:bookmarkStart w:id="310" w:name="_Toc336681552"/>
      <w:bookmarkStart w:id="311" w:name="_Toc333237760"/>
      <w:bookmarkStart w:id="312" w:name="_Toc365985151"/>
      <w:bookmarkStart w:id="313" w:name="_Toc365967045"/>
      <w:bookmarkStart w:id="314" w:name="_Toc333935659"/>
      <w:bookmarkStart w:id="315" w:name="_Toc339362272"/>
      <w:r>
        <w:rPr>
          <w:rFonts w:hint="eastAsia"/>
          <w:color w:val="000000" w:themeColor="text1"/>
          <w:highlight w:val="none"/>
          <w14:textFill>
            <w14:solidFill>
              <w14:schemeClr w14:val="tx1"/>
            </w14:solidFill>
          </w14:textFill>
        </w:rPr>
        <w:t>投标费用</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16" w:name="_Toc339441060"/>
      <w:bookmarkStart w:id="317" w:name="_Toc331512871"/>
      <w:bookmarkStart w:id="318" w:name="_Toc337632331"/>
      <w:bookmarkStart w:id="319" w:name="_Toc342296733"/>
      <w:bookmarkStart w:id="320" w:name="_Toc332206681"/>
      <w:bookmarkStart w:id="321" w:name="_Toc339020068"/>
      <w:bookmarkStart w:id="322" w:name="_Toc333935660"/>
      <w:bookmarkStart w:id="323" w:name="_Toc330459958"/>
      <w:bookmarkStart w:id="324" w:name="_Toc331684011"/>
      <w:bookmarkStart w:id="325" w:name="_Toc332270319"/>
      <w:bookmarkStart w:id="326" w:name="_Toc349143562"/>
      <w:bookmarkStart w:id="327" w:name="_Toc336681908"/>
      <w:bookmarkStart w:id="328" w:name="_Toc366072501"/>
      <w:bookmarkStart w:id="329" w:name="_Toc365985152"/>
      <w:bookmarkStart w:id="330" w:name="_Toc374454574"/>
      <w:bookmarkStart w:id="331" w:name="_Toc341348311"/>
      <w:bookmarkStart w:id="332" w:name="_Toc333935319"/>
      <w:bookmarkStart w:id="333" w:name="_Toc349127599"/>
      <w:bookmarkStart w:id="334" w:name="_Toc365967046"/>
      <w:bookmarkStart w:id="335" w:name="_Toc333237761"/>
      <w:bookmarkStart w:id="336" w:name="_Toc345513840"/>
      <w:bookmarkStart w:id="337" w:name="_Toc339362273"/>
      <w:bookmarkStart w:id="338" w:name="_Toc350438722"/>
      <w:bookmarkStart w:id="339" w:name="_Toc342060347"/>
      <w:bookmarkStart w:id="340" w:name="_Toc333238606"/>
      <w:bookmarkStart w:id="341" w:name="_Toc350756423"/>
      <w:bookmarkStart w:id="342" w:name="_Toc340507415"/>
      <w:bookmarkStart w:id="343" w:name="_Toc497224199"/>
      <w:bookmarkStart w:id="344" w:name="_Toc333237650"/>
      <w:bookmarkStart w:id="345" w:name="_Toc339019862"/>
      <w:bookmarkStart w:id="346" w:name="_Toc339019988"/>
      <w:bookmarkStart w:id="347" w:name="_Toc340677043"/>
      <w:bookmarkStart w:id="348" w:name="_Toc340672842"/>
      <w:bookmarkStart w:id="349" w:name="_Toc339020206"/>
      <w:bookmarkStart w:id="350" w:name="_Toc336681553"/>
      <w:bookmarkStart w:id="351" w:name="_Toc503785401"/>
    </w:p>
    <w:p>
      <w:pPr>
        <w:pStyle w:val="3"/>
        <w:numPr>
          <w:ilvl w:val="0"/>
          <w:numId w:val="0"/>
        </w:numPr>
        <w:rPr>
          <w:color w:val="000000" w:themeColor="text1"/>
          <w:sz w:val="24"/>
          <w:highlight w:val="none"/>
          <w14:textFill>
            <w14:solidFill>
              <w14:schemeClr w14:val="tx1"/>
            </w14:solidFill>
          </w14:textFill>
        </w:rPr>
      </w:pPr>
      <w:bookmarkStart w:id="352" w:name="_Toc19151"/>
      <w:r>
        <w:rPr>
          <w:rFonts w:hint="eastAsia"/>
          <w:color w:val="000000" w:themeColor="text1"/>
          <w:sz w:val="24"/>
          <w:highlight w:val="none"/>
          <w14:textFill>
            <w14:solidFill>
              <w14:schemeClr w14:val="tx1"/>
            </w14:solidFill>
          </w14:textFill>
        </w:rPr>
        <w:t>Ｂ</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招标文件说明</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353" w:name="_Toc333238607"/>
      <w:bookmarkStart w:id="354" w:name="_Toc365985153"/>
      <w:bookmarkStart w:id="355" w:name="_Toc503785402"/>
      <w:bookmarkStart w:id="356" w:name="_Toc349127600"/>
      <w:bookmarkStart w:id="357" w:name="_Toc342296734"/>
      <w:bookmarkStart w:id="358" w:name="_Toc330459959"/>
      <w:bookmarkStart w:id="359" w:name="_Toc339019863"/>
      <w:bookmarkStart w:id="360" w:name="_Toc349143563"/>
      <w:bookmarkStart w:id="361" w:name="_Toc350756424"/>
      <w:bookmarkStart w:id="362" w:name="_Toc339441061"/>
      <w:bookmarkStart w:id="363" w:name="_Toc332206682"/>
      <w:bookmarkStart w:id="364" w:name="_Toc374454575"/>
      <w:bookmarkStart w:id="365" w:name="_Toc333237651"/>
      <w:bookmarkStart w:id="366" w:name="_Toc339019989"/>
      <w:bookmarkStart w:id="367" w:name="_Toc336681909"/>
      <w:bookmarkStart w:id="368" w:name="_Toc332270320"/>
      <w:bookmarkStart w:id="369" w:name="_Toc331684012"/>
      <w:bookmarkStart w:id="370" w:name="_Toc339362274"/>
      <w:bookmarkStart w:id="371" w:name="_Toc337632332"/>
      <w:bookmarkStart w:id="372" w:name="_Toc333935320"/>
      <w:bookmarkStart w:id="373" w:name="_Toc366072502"/>
      <w:bookmarkStart w:id="374" w:name="_Toc333935661"/>
      <w:bookmarkStart w:id="375" w:name="_Toc340677044"/>
      <w:bookmarkStart w:id="376" w:name="_Toc339020207"/>
      <w:bookmarkStart w:id="377" w:name="_Toc341348312"/>
      <w:bookmarkStart w:id="378" w:name="_Toc331512872"/>
      <w:bookmarkStart w:id="379" w:name="_Toc340672843"/>
      <w:bookmarkStart w:id="380" w:name="_Toc340507416"/>
      <w:bookmarkStart w:id="381" w:name="_Toc345513841"/>
      <w:bookmarkStart w:id="382" w:name="_Toc497224200"/>
      <w:bookmarkStart w:id="383" w:name="_Toc30662"/>
      <w:bookmarkStart w:id="384" w:name="_Toc365967047"/>
      <w:bookmarkStart w:id="385" w:name="_Toc342060348"/>
      <w:bookmarkStart w:id="386" w:name="_Toc333237762"/>
      <w:bookmarkStart w:id="387" w:name="_Toc350438723"/>
      <w:bookmarkStart w:id="388" w:name="_Toc339020069"/>
      <w:bookmarkStart w:id="389" w:name="_Toc336681554"/>
      <w:r>
        <w:rPr>
          <w:rFonts w:hint="eastAsia"/>
          <w:color w:val="000000" w:themeColor="text1"/>
          <w:highlight w:val="none"/>
          <w14:textFill>
            <w14:solidFill>
              <w14:schemeClr w14:val="tx1"/>
            </w14:solidFill>
          </w14:textFill>
        </w:rPr>
        <w:t>招标文件的构成</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390" w:name="_Toc365985154"/>
      <w:bookmarkStart w:id="391" w:name="_Toc331512873"/>
      <w:bookmarkStart w:id="392" w:name="_Toc332206683"/>
      <w:bookmarkStart w:id="393" w:name="_Toc341348313"/>
      <w:bookmarkStart w:id="394" w:name="_Toc336681910"/>
      <w:bookmarkStart w:id="395" w:name="_Toc339020070"/>
      <w:bookmarkStart w:id="396" w:name="_Toc333237763"/>
      <w:bookmarkStart w:id="397" w:name="_Toc331684013"/>
      <w:bookmarkStart w:id="398" w:name="_Toc342296735"/>
      <w:bookmarkStart w:id="399" w:name="_Toc497224201"/>
      <w:bookmarkStart w:id="400" w:name="_Toc349143564"/>
      <w:bookmarkStart w:id="401" w:name="_Toc340677045"/>
      <w:bookmarkStart w:id="402" w:name="_Toc345513842"/>
      <w:bookmarkStart w:id="403" w:name="_Toc370388389"/>
      <w:bookmarkStart w:id="404" w:name="_Toc332270321"/>
      <w:bookmarkStart w:id="405" w:name="_Toc340507417"/>
      <w:bookmarkStart w:id="406" w:name="_Toc339441062"/>
      <w:bookmarkStart w:id="407" w:name="_Toc340672844"/>
      <w:bookmarkStart w:id="408" w:name="_Toc350756425"/>
      <w:bookmarkStart w:id="409" w:name="_Toc339019990"/>
      <w:bookmarkStart w:id="410" w:name="_Toc333238608"/>
      <w:bookmarkStart w:id="411" w:name="_Toc339020208"/>
      <w:bookmarkStart w:id="412" w:name="_Toc333935321"/>
      <w:bookmarkStart w:id="413" w:name="_Toc339019864"/>
      <w:bookmarkStart w:id="414" w:name="_Toc330459960"/>
      <w:bookmarkStart w:id="415" w:name="_Toc333237652"/>
      <w:bookmarkStart w:id="416" w:name="_Toc337632333"/>
      <w:bookmarkStart w:id="417" w:name="_Toc342060349"/>
      <w:bookmarkStart w:id="418" w:name="_Toc349127601"/>
      <w:bookmarkStart w:id="419" w:name="_Toc365967048"/>
      <w:bookmarkStart w:id="420" w:name="_Toc350438724"/>
      <w:bookmarkStart w:id="421" w:name="_Toc336681555"/>
      <w:bookmarkStart w:id="422" w:name="_Toc503785403"/>
      <w:bookmarkStart w:id="423" w:name="_Toc333935662"/>
      <w:bookmarkStart w:id="424" w:name="_Toc339362275"/>
      <w:bookmarkStart w:id="425" w:name="_Toc374454576"/>
      <w:bookmarkStart w:id="426" w:name="_Toc27096"/>
      <w:bookmarkStart w:id="427" w:name="_Toc497224203"/>
      <w:bookmarkStart w:id="428" w:name="_Toc503785405"/>
      <w:bookmarkStart w:id="429" w:name="_Toc341348315"/>
      <w:bookmarkStart w:id="430" w:name="_Toc339019866"/>
      <w:bookmarkStart w:id="431" w:name="_Toc342296737"/>
      <w:bookmarkStart w:id="432" w:name="_Toc350756427"/>
      <w:bookmarkStart w:id="433" w:name="_Toc337632335"/>
      <w:bookmarkStart w:id="434" w:name="_Toc333237654"/>
      <w:bookmarkStart w:id="435" w:name="_Toc339362277"/>
      <w:bookmarkStart w:id="436" w:name="_Toc333935664"/>
      <w:bookmarkStart w:id="437" w:name="_Toc340672846"/>
      <w:bookmarkStart w:id="438" w:name="_Toc333935323"/>
      <w:bookmarkStart w:id="439" w:name="_Toc365967050"/>
      <w:bookmarkStart w:id="440" w:name="_Toc349143566"/>
      <w:bookmarkStart w:id="441" w:name="_Toc350438726"/>
      <w:bookmarkStart w:id="442" w:name="_Toc332206685"/>
      <w:bookmarkStart w:id="443" w:name="_Toc339020210"/>
      <w:bookmarkStart w:id="444" w:name="_Toc333237765"/>
      <w:bookmarkStart w:id="445" w:name="_Toc332270323"/>
      <w:bookmarkStart w:id="446" w:name="_Toc339020072"/>
      <w:bookmarkStart w:id="447" w:name="_Toc339019992"/>
      <w:bookmarkStart w:id="448" w:name="_Toc336681912"/>
      <w:bookmarkStart w:id="449" w:name="_Toc333238610"/>
      <w:bookmarkStart w:id="450" w:name="_Toc336681557"/>
      <w:bookmarkStart w:id="451" w:name="_Toc330459962"/>
      <w:bookmarkStart w:id="452" w:name="_Toc342060351"/>
      <w:bookmarkStart w:id="453" w:name="_Toc339441064"/>
      <w:bookmarkStart w:id="454" w:name="_Toc331684015"/>
      <w:bookmarkStart w:id="455" w:name="_Toc340507419"/>
      <w:bookmarkStart w:id="456" w:name="_Toc340677047"/>
      <w:bookmarkStart w:id="457" w:name="_Toc345513844"/>
      <w:bookmarkStart w:id="458" w:name="_Toc365985156"/>
      <w:bookmarkStart w:id="459" w:name="_Toc366072505"/>
      <w:bookmarkStart w:id="460" w:name="_Toc331512875"/>
      <w:bookmarkStart w:id="461" w:name="_Toc349127603"/>
      <w:r>
        <w:rPr>
          <w:rFonts w:hint="eastAsia"/>
          <w:color w:val="000000" w:themeColor="text1"/>
          <w:highlight w:val="none"/>
          <w14:textFill>
            <w14:solidFill>
              <w14:schemeClr w14:val="tx1"/>
            </w14:solidFill>
          </w14:textFill>
        </w:rPr>
        <w:t>招标文件的澄清</w:t>
      </w:r>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r>
        <w:rPr>
          <w:rFonts w:hint="eastAsia"/>
          <w:color w:val="000000" w:themeColor="text1"/>
          <w:highlight w:val="none"/>
          <w14:textFill>
            <w14:solidFill>
              <w14:schemeClr w14:val="tx1"/>
            </w14:solidFill>
          </w14:textFill>
        </w:rPr>
        <w:t>、修改</w:t>
      </w:r>
      <w:bookmarkEnd w:id="425"/>
      <w:bookmarkEnd w:id="426"/>
    </w:p>
    <w:p>
      <w:pPr>
        <w:widowControl/>
        <w:numPr>
          <w:ilvl w:val="1"/>
          <w:numId w:val="3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3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3"/>
        <w:numPr>
          <w:ilvl w:val="0"/>
          <w:numId w:val="0"/>
        </w:numPr>
        <w:rPr>
          <w:color w:val="000000" w:themeColor="text1"/>
          <w:sz w:val="24"/>
          <w:highlight w:val="none"/>
          <w14:textFill>
            <w14:solidFill>
              <w14:schemeClr w14:val="tx1"/>
            </w14:solidFill>
          </w14:textFill>
        </w:rPr>
      </w:pPr>
      <w:bookmarkStart w:id="462" w:name="_Toc374454577"/>
      <w:r>
        <w:rPr>
          <w:color w:val="000000" w:themeColor="text1"/>
          <w:sz w:val="24"/>
          <w:highlight w:val="none"/>
          <w14:textFill>
            <w14:solidFill>
              <w14:schemeClr w14:val="tx1"/>
            </w14:solidFill>
          </w14:textFill>
        </w:rPr>
        <w:br w:type="page"/>
      </w:r>
      <w:bookmarkStart w:id="463" w:name="_Toc10225"/>
      <w:r>
        <w:rPr>
          <w:rFonts w:hint="eastAsia"/>
          <w:color w:val="000000" w:themeColor="text1"/>
          <w:sz w:val="24"/>
          <w:highlight w:val="none"/>
          <w14:textFill>
            <w14:solidFill>
              <w14:schemeClr w14:val="tx1"/>
            </w14:solidFill>
          </w14:textFill>
        </w:rPr>
        <w:t>Ｃ</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投标文件的编</w:t>
      </w:r>
      <w:bookmarkEnd w:id="427"/>
      <w:bookmarkEnd w:id="428"/>
      <w:r>
        <w:rPr>
          <w:rFonts w:hint="eastAsia"/>
          <w:color w:val="000000" w:themeColor="text1"/>
          <w:sz w:val="24"/>
          <w:highlight w:val="none"/>
          <w14:textFill>
            <w14:solidFill>
              <w14:schemeClr w14:val="tx1"/>
            </w14:solidFill>
          </w14:textFill>
        </w:rPr>
        <w:t>制</w:t>
      </w:r>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464" w:name="_Toc349143567"/>
      <w:bookmarkStart w:id="465" w:name="_Toc331512876"/>
      <w:bookmarkStart w:id="466" w:name="_Toc340677048"/>
      <w:bookmarkStart w:id="467" w:name="_Toc365985157"/>
      <w:bookmarkStart w:id="468" w:name="_Toc330459963"/>
      <w:bookmarkStart w:id="469" w:name="_Toc340507420"/>
      <w:bookmarkStart w:id="470" w:name="_Toc342296738"/>
      <w:bookmarkStart w:id="471" w:name="_Toc340672847"/>
      <w:bookmarkStart w:id="472" w:name="_Toc333237655"/>
      <w:bookmarkStart w:id="473" w:name="_Toc374454578"/>
      <w:bookmarkStart w:id="474" w:name="_Toc497224204"/>
      <w:bookmarkStart w:id="475" w:name="_Toc339020073"/>
      <w:bookmarkStart w:id="476" w:name="_Toc332206686"/>
      <w:bookmarkStart w:id="477" w:name="_Toc349127604"/>
      <w:bookmarkStart w:id="478" w:name="_Toc339020211"/>
      <w:bookmarkStart w:id="479" w:name="_Toc342060352"/>
      <w:bookmarkStart w:id="480" w:name="_Toc366072506"/>
      <w:bookmarkStart w:id="481" w:name="_Toc336681558"/>
      <w:bookmarkStart w:id="482" w:name="_Toc339019993"/>
      <w:bookmarkStart w:id="483" w:name="_Toc333237766"/>
      <w:bookmarkStart w:id="484" w:name="_Toc333935324"/>
      <w:bookmarkStart w:id="485" w:name="_Toc331684016"/>
      <w:bookmarkStart w:id="486" w:name="_Toc332270324"/>
      <w:bookmarkStart w:id="487" w:name="_Toc336681913"/>
      <w:bookmarkStart w:id="488" w:name="_Toc345513845"/>
      <w:bookmarkStart w:id="489" w:name="_Toc339441065"/>
      <w:bookmarkStart w:id="490" w:name="_Toc333935665"/>
      <w:bookmarkStart w:id="491" w:name="_Toc333238611"/>
      <w:bookmarkStart w:id="492" w:name="_Toc365967051"/>
      <w:bookmarkStart w:id="493" w:name="_Toc29484"/>
      <w:bookmarkStart w:id="494" w:name="_Toc339019867"/>
      <w:bookmarkStart w:id="495" w:name="_Toc337632336"/>
      <w:bookmarkStart w:id="496" w:name="_Toc503785406"/>
      <w:bookmarkStart w:id="497" w:name="_Toc350756428"/>
      <w:bookmarkStart w:id="498" w:name="_Toc339362278"/>
      <w:bookmarkStart w:id="499" w:name="_Toc350438727"/>
      <w:bookmarkStart w:id="500" w:name="_Toc341348316"/>
      <w:r>
        <w:rPr>
          <w:rFonts w:hint="eastAsia"/>
          <w:color w:val="000000" w:themeColor="text1"/>
          <w:highlight w:val="none"/>
          <w14:textFill>
            <w14:solidFill>
              <w14:schemeClr w14:val="tx1"/>
            </w14:solidFill>
          </w14:textFill>
        </w:rPr>
        <w:t>要求</w:t>
      </w:r>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501" w:name="_Toc331512877"/>
      <w:bookmarkStart w:id="502" w:name="_Toc339019868"/>
      <w:bookmarkStart w:id="503" w:name="_Toc333238612"/>
      <w:bookmarkStart w:id="504" w:name="_Toc345513846"/>
      <w:bookmarkStart w:id="505" w:name="_Toc365967052"/>
      <w:bookmarkStart w:id="506" w:name="_Toc332270325"/>
      <w:bookmarkStart w:id="507" w:name="_Toc365985158"/>
      <w:bookmarkStart w:id="508" w:name="_Toc497224205"/>
      <w:bookmarkStart w:id="509" w:name="_Toc366072507"/>
      <w:bookmarkStart w:id="510" w:name="_Toc341348317"/>
      <w:bookmarkStart w:id="511" w:name="_Toc333237767"/>
      <w:bookmarkStart w:id="512" w:name="_Toc339441066"/>
      <w:bookmarkStart w:id="513" w:name="_Toc333237656"/>
      <w:bookmarkStart w:id="514" w:name="_Toc333935666"/>
      <w:bookmarkStart w:id="515" w:name="_Toc350438728"/>
      <w:bookmarkStart w:id="516" w:name="_Toc342060353"/>
      <w:bookmarkStart w:id="517" w:name="_Toc339362279"/>
      <w:bookmarkStart w:id="518" w:name="_Toc331684017"/>
      <w:bookmarkStart w:id="519" w:name="_Toc336681914"/>
      <w:bookmarkStart w:id="520" w:name="_Toc350756429"/>
      <w:bookmarkStart w:id="521" w:name="_Toc342296739"/>
      <w:bookmarkStart w:id="522" w:name="_Toc340672848"/>
      <w:bookmarkStart w:id="523" w:name="_Toc503785407"/>
      <w:bookmarkStart w:id="524" w:name="_Toc349143568"/>
      <w:bookmarkStart w:id="525" w:name="_Toc332206687"/>
      <w:bookmarkStart w:id="526" w:name="_Toc340677049"/>
      <w:bookmarkStart w:id="527" w:name="_Toc374454579"/>
      <w:bookmarkStart w:id="528" w:name="_Toc340507421"/>
      <w:bookmarkStart w:id="529" w:name="_Toc339020074"/>
      <w:bookmarkStart w:id="530" w:name="_Toc333935325"/>
      <w:bookmarkStart w:id="531" w:name="_Toc339019994"/>
      <w:bookmarkStart w:id="532" w:name="_Toc31126"/>
      <w:bookmarkStart w:id="533" w:name="_Toc330459964"/>
      <w:bookmarkStart w:id="534" w:name="_Toc339020212"/>
      <w:bookmarkStart w:id="535" w:name="_Toc349127605"/>
      <w:bookmarkStart w:id="536" w:name="_Toc337632337"/>
      <w:bookmarkStart w:id="537" w:name="_Toc336681559"/>
      <w:r>
        <w:rPr>
          <w:rFonts w:hint="eastAsia"/>
          <w:color w:val="000000" w:themeColor="text1"/>
          <w:highlight w:val="none"/>
          <w14:textFill>
            <w14:solidFill>
              <w14:schemeClr w14:val="tx1"/>
            </w14:solidFill>
          </w14:textFill>
        </w:rPr>
        <w:t>投标语言及计量单位</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538" w:name="_Toc503785408"/>
      <w:bookmarkStart w:id="539" w:name="_Toc350756430"/>
      <w:bookmarkStart w:id="540" w:name="_Toc340677050"/>
      <w:bookmarkStart w:id="541" w:name="_Toc365967053"/>
      <w:bookmarkStart w:id="542" w:name="_Toc350438729"/>
      <w:bookmarkStart w:id="543" w:name="_Toc337632338"/>
      <w:bookmarkStart w:id="544" w:name="_Toc340672849"/>
      <w:bookmarkStart w:id="545" w:name="_Toc365985159"/>
      <w:bookmarkStart w:id="546" w:name="_Toc345513847"/>
      <w:bookmarkStart w:id="547" w:name="_Toc339362280"/>
      <w:bookmarkStart w:id="548" w:name="_Toc339020075"/>
      <w:bookmarkStart w:id="549" w:name="_Toc333238613"/>
      <w:bookmarkStart w:id="550" w:name="_Toc341348318"/>
      <w:bookmarkStart w:id="551" w:name="_Toc339020213"/>
      <w:bookmarkStart w:id="552" w:name="_Toc336681560"/>
      <w:bookmarkStart w:id="553" w:name="_Toc331512878"/>
      <w:bookmarkStart w:id="554" w:name="_Toc339441067"/>
      <w:bookmarkStart w:id="555" w:name="_Toc349143569"/>
      <w:bookmarkStart w:id="556" w:name="_Toc333237657"/>
      <w:bookmarkStart w:id="557" w:name="_Toc340507422"/>
      <w:bookmarkStart w:id="558" w:name="_Toc333237768"/>
      <w:bookmarkStart w:id="559" w:name="_Toc339019995"/>
      <w:bookmarkStart w:id="560" w:name="_Toc339019869"/>
      <w:bookmarkStart w:id="561" w:name="_Toc332270326"/>
      <w:bookmarkStart w:id="562" w:name="_Toc332206688"/>
      <w:bookmarkStart w:id="563" w:name="_Toc374454580"/>
      <w:bookmarkStart w:id="564" w:name="_Toc333935326"/>
      <w:bookmarkStart w:id="565" w:name="_Toc331684018"/>
      <w:bookmarkStart w:id="566" w:name="_Toc336681915"/>
      <w:bookmarkStart w:id="567" w:name="_Toc333935667"/>
      <w:bookmarkStart w:id="568" w:name="_Toc349127606"/>
      <w:bookmarkStart w:id="569" w:name="_Toc342296740"/>
      <w:bookmarkStart w:id="570" w:name="_Toc342060354"/>
      <w:bookmarkStart w:id="571" w:name="_Toc497224206"/>
      <w:bookmarkStart w:id="572" w:name="_Toc330459965"/>
      <w:bookmarkStart w:id="573" w:name="_Toc366072508"/>
      <w:bookmarkStart w:id="574" w:name="_Toc1010"/>
      <w:r>
        <w:rPr>
          <w:rFonts w:hint="eastAsia"/>
          <w:color w:val="000000" w:themeColor="text1"/>
          <w:highlight w:val="none"/>
          <w14:textFill>
            <w14:solidFill>
              <w14:schemeClr w14:val="tx1"/>
            </w14:solidFill>
          </w14:textFill>
        </w:rPr>
        <w:t>投标文件的构成</w:t>
      </w:r>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75" w:name="_Toc497224207"/>
      <w:bookmarkStart w:id="576" w:name="_Toc503785409"/>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577" w:name="_Toc342060355"/>
      <w:bookmarkStart w:id="578" w:name="_Toc337632339"/>
      <w:bookmarkStart w:id="579" w:name="_Toc365985160"/>
      <w:bookmarkStart w:id="580" w:name="_Toc339019996"/>
      <w:bookmarkStart w:id="581" w:name="_Toc349127607"/>
      <w:bookmarkStart w:id="582" w:name="_Toc339441068"/>
      <w:bookmarkStart w:id="583" w:name="_Toc350438730"/>
      <w:bookmarkStart w:id="584" w:name="_Toc340507423"/>
      <w:bookmarkStart w:id="585" w:name="_Toc339019870"/>
      <w:bookmarkStart w:id="586" w:name="_Toc350756431"/>
      <w:bookmarkStart w:id="587" w:name="_Toc365967054"/>
      <w:bookmarkStart w:id="588" w:name="_Toc349143570"/>
      <w:bookmarkStart w:id="589" w:name="_Toc333935668"/>
      <w:bookmarkStart w:id="590" w:name="_Toc336681561"/>
      <w:bookmarkStart w:id="591" w:name="_Toc340677051"/>
      <w:bookmarkStart w:id="592" w:name="_Toc331684019"/>
      <w:bookmarkStart w:id="593" w:name="_Toc333935327"/>
      <w:bookmarkStart w:id="594" w:name="_Toc339362281"/>
      <w:bookmarkStart w:id="595" w:name="_Toc345513848"/>
      <w:bookmarkStart w:id="596" w:name="_Toc332270327"/>
      <w:bookmarkStart w:id="597" w:name="_Toc341348319"/>
      <w:bookmarkStart w:id="598" w:name="_Toc333238614"/>
      <w:bookmarkStart w:id="599" w:name="_Toc331512879"/>
      <w:bookmarkStart w:id="600" w:name="_Toc366072509"/>
      <w:bookmarkStart w:id="601" w:name="_Toc342296741"/>
      <w:bookmarkStart w:id="602" w:name="_Toc340672850"/>
      <w:bookmarkStart w:id="603" w:name="_Toc339020214"/>
      <w:bookmarkStart w:id="604" w:name="_Toc332206689"/>
      <w:bookmarkStart w:id="605" w:name="_Toc330459966"/>
      <w:bookmarkStart w:id="606" w:name="_Toc336681916"/>
      <w:bookmarkStart w:id="607" w:name="_Toc19010"/>
      <w:bookmarkStart w:id="608" w:name="_Toc333237658"/>
      <w:bookmarkStart w:id="609" w:name="_Toc374454581"/>
      <w:bookmarkStart w:id="610" w:name="_Toc333237769"/>
      <w:bookmarkStart w:id="611" w:name="_Toc339020076"/>
      <w:r>
        <w:rPr>
          <w:rFonts w:hint="eastAsia"/>
          <w:color w:val="000000" w:themeColor="text1"/>
          <w:highlight w:val="none"/>
          <w14:textFill>
            <w14:solidFill>
              <w14:schemeClr w14:val="tx1"/>
            </w14:solidFill>
          </w14:textFill>
        </w:rPr>
        <w:t>投标文件格式</w:t>
      </w:r>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612" w:name="_Toc345513849"/>
      <w:bookmarkStart w:id="613" w:name="_Toc19609"/>
      <w:bookmarkStart w:id="614" w:name="_Toc365967055"/>
      <w:bookmarkStart w:id="615" w:name="_Toc339362282"/>
      <w:bookmarkStart w:id="616" w:name="_Toc340677052"/>
      <w:bookmarkStart w:id="617" w:name="_Toc339441069"/>
      <w:bookmarkStart w:id="618" w:name="_Toc333237770"/>
      <w:bookmarkStart w:id="619" w:name="_Toc341348320"/>
      <w:bookmarkStart w:id="620" w:name="_Toc339020077"/>
      <w:bookmarkStart w:id="621" w:name="_Toc339020215"/>
      <w:bookmarkStart w:id="622" w:name="_Toc332270328"/>
      <w:bookmarkStart w:id="623" w:name="_Toc350438731"/>
      <w:bookmarkStart w:id="624" w:name="_Toc331684020"/>
      <w:bookmarkStart w:id="625" w:name="_Toc350756432"/>
      <w:bookmarkStart w:id="626" w:name="_Toc5003680"/>
      <w:bookmarkStart w:id="627" w:name="_Toc331512880"/>
      <w:bookmarkStart w:id="628" w:name="_Toc332206690"/>
      <w:bookmarkStart w:id="629" w:name="_Toc340507424"/>
      <w:bookmarkStart w:id="630" w:name="_Toc349143571"/>
      <w:bookmarkStart w:id="631" w:name="_Toc342296742"/>
      <w:bookmarkStart w:id="632" w:name="_Toc339019997"/>
      <w:bookmarkStart w:id="633" w:name="_Toc342060356"/>
      <w:bookmarkStart w:id="634" w:name="_Toc330459967"/>
      <w:bookmarkStart w:id="635" w:name="_Toc339019871"/>
      <w:bookmarkStart w:id="636" w:name="_Toc374454582"/>
      <w:bookmarkStart w:id="637" w:name="_Toc333935328"/>
      <w:bookmarkStart w:id="638" w:name="_Toc333237659"/>
      <w:bookmarkStart w:id="639" w:name="_Toc336681917"/>
      <w:bookmarkStart w:id="640" w:name="_Toc333238615"/>
      <w:bookmarkStart w:id="641" w:name="_Toc365985161"/>
      <w:bookmarkStart w:id="642" w:name="_Toc337632340"/>
      <w:bookmarkStart w:id="643" w:name="_Toc366072510"/>
      <w:bookmarkStart w:id="644" w:name="_Toc349127608"/>
      <w:bookmarkStart w:id="645" w:name="_Toc333935669"/>
      <w:bookmarkStart w:id="646" w:name="_Toc340672851"/>
      <w:bookmarkStart w:id="647" w:name="_Toc336681562"/>
      <w:r>
        <w:rPr>
          <w:rFonts w:hint="eastAsia"/>
          <w:color w:val="000000" w:themeColor="text1"/>
          <w:highlight w:val="none"/>
          <w14:textFill>
            <w14:solidFill>
              <w14:schemeClr w14:val="tx1"/>
            </w14:solidFill>
          </w14:textFill>
        </w:rPr>
        <w:t>资格证明文件</w:t>
      </w:r>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3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3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648" w:name="_Toc30060"/>
      <w:bookmarkStart w:id="649" w:name="_Toc339020078"/>
      <w:bookmarkStart w:id="650" w:name="_Toc336681918"/>
      <w:bookmarkStart w:id="651" w:name="_Toc350438732"/>
      <w:bookmarkStart w:id="652" w:name="_Toc339019998"/>
      <w:bookmarkStart w:id="653" w:name="_Toc333935329"/>
      <w:bookmarkStart w:id="654" w:name="_Toc349143572"/>
      <w:bookmarkStart w:id="655" w:name="_Toc365985162"/>
      <w:bookmarkStart w:id="656" w:name="_Toc331684021"/>
      <w:bookmarkStart w:id="657" w:name="_Toc333935670"/>
      <w:bookmarkStart w:id="658" w:name="_Toc342060357"/>
      <w:bookmarkStart w:id="659" w:name="_Toc336681563"/>
      <w:bookmarkStart w:id="660" w:name="_Toc339441070"/>
      <w:bookmarkStart w:id="661" w:name="_Toc332206691"/>
      <w:bookmarkStart w:id="662" w:name="_Toc345513850"/>
      <w:bookmarkStart w:id="663" w:name="_Toc341348321"/>
      <w:bookmarkStart w:id="664" w:name="_Toc340677053"/>
      <w:bookmarkStart w:id="665" w:name="_Toc339019872"/>
      <w:bookmarkStart w:id="666" w:name="_Toc337632341"/>
      <w:bookmarkStart w:id="667" w:name="_Toc5003681"/>
      <w:bookmarkStart w:id="668" w:name="_Toc330459968"/>
      <w:bookmarkStart w:id="669" w:name="_Toc365967056"/>
      <w:bookmarkStart w:id="670" w:name="_Toc333237660"/>
      <w:bookmarkStart w:id="671" w:name="_Toc349127609"/>
      <w:bookmarkStart w:id="672" w:name="_Toc339362283"/>
      <w:bookmarkStart w:id="673" w:name="_Toc342296743"/>
      <w:bookmarkStart w:id="674" w:name="_Toc340507425"/>
      <w:bookmarkStart w:id="675" w:name="_Toc333237771"/>
      <w:bookmarkStart w:id="676" w:name="_Toc350756433"/>
      <w:bookmarkStart w:id="677" w:name="_Toc339020216"/>
      <w:bookmarkStart w:id="678" w:name="_Toc374454583"/>
      <w:bookmarkStart w:id="679" w:name="_Toc366072511"/>
      <w:bookmarkStart w:id="680" w:name="_Toc340672852"/>
      <w:bookmarkStart w:id="681" w:name="_Toc331512881"/>
      <w:bookmarkStart w:id="682" w:name="_Toc333238616"/>
      <w:bookmarkStart w:id="683" w:name="_Toc332270329"/>
      <w:r>
        <w:rPr>
          <w:rFonts w:hint="eastAsia"/>
          <w:color w:val="000000" w:themeColor="text1"/>
          <w:highlight w:val="none"/>
          <w14:textFill>
            <w14:solidFill>
              <w14:schemeClr w14:val="tx1"/>
            </w14:solidFill>
          </w14:textFill>
        </w:rPr>
        <w:t>货物和服务的证明文件</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证明货物和服务与招标文件的要求相一致的文件，它可以是文字资料、图纸、手册和数据，包括：</w:t>
      </w:r>
    </w:p>
    <w:p>
      <w:pPr>
        <w:numPr>
          <w:ilvl w:val="5"/>
          <w:numId w:val="3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3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3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684" w:name="_Toc342060358"/>
      <w:bookmarkStart w:id="685" w:name="_Toc349143573"/>
      <w:bookmarkStart w:id="686" w:name="_Toc333935330"/>
      <w:bookmarkStart w:id="687" w:name="_Toc340677054"/>
      <w:bookmarkStart w:id="688" w:name="_Toc374454584"/>
      <w:bookmarkStart w:id="689" w:name="_Toc350756434"/>
      <w:bookmarkStart w:id="690" w:name="_Toc349127610"/>
      <w:bookmarkStart w:id="691" w:name="_Toc340672853"/>
      <w:bookmarkStart w:id="692" w:name="_Toc340507426"/>
      <w:bookmarkStart w:id="693" w:name="_Toc339441071"/>
      <w:bookmarkStart w:id="694" w:name="_Toc332270330"/>
      <w:bookmarkStart w:id="695" w:name="_Toc341348322"/>
      <w:bookmarkStart w:id="696" w:name="_Toc497224209"/>
      <w:bookmarkStart w:id="697" w:name="_Toc331512882"/>
      <w:bookmarkStart w:id="698" w:name="_Toc339020217"/>
      <w:bookmarkStart w:id="699" w:name="_Toc333935671"/>
      <w:bookmarkStart w:id="700" w:name="_Toc330459969"/>
      <w:bookmarkStart w:id="701" w:name="_Toc331684022"/>
      <w:bookmarkStart w:id="702" w:name="_Toc366072512"/>
      <w:bookmarkStart w:id="703" w:name="_Toc342296744"/>
      <w:bookmarkStart w:id="704" w:name="_Toc336681564"/>
      <w:bookmarkStart w:id="705" w:name="_Toc339020079"/>
      <w:bookmarkStart w:id="706" w:name="_Toc333238617"/>
      <w:bookmarkStart w:id="707" w:name="_Toc345513851"/>
      <w:bookmarkStart w:id="708" w:name="_Toc365967057"/>
      <w:bookmarkStart w:id="709" w:name="_Toc7260"/>
      <w:bookmarkStart w:id="710" w:name="_Toc339019999"/>
      <w:bookmarkStart w:id="711" w:name="_Toc339019873"/>
      <w:bookmarkStart w:id="712" w:name="_Toc337632342"/>
      <w:bookmarkStart w:id="713" w:name="_Toc350438733"/>
      <w:bookmarkStart w:id="714" w:name="_Toc332206692"/>
      <w:bookmarkStart w:id="715" w:name="_Toc365985163"/>
      <w:bookmarkStart w:id="716" w:name="_Toc333237661"/>
      <w:bookmarkStart w:id="717" w:name="_Toc333237772"/>
      <w:bookmarkStart w:id="718" w:name="_Toc503785411"/>
      <w:bookmarkStart w:id="719" w:name="_Toc336681919"/>
      <w:bookmarkStart w:id="720" w:name="_Toc339362284"/>
      <w:r>
        <w:rPr>
          <w:rFonts w:hint="eastAsia"/>
          <w:color w:val="000000" w:themeColor="text1"/>
          <w:highlight w:val="none"/>
          <w14:textFill>
            <w14:solidFill>
              <w14:schemeClr w14:val="tx1"/>
            </w14:solidFill>
          </w14:textFill>
        </w:rPr>
        <w:t>投标报价与投标货币</w:t>
      </w:r>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721" w:name="_Toc350756435"/>
      <w:bookmarkStart w:id="722" w:name="_Toc333237773"/>
      <w:bookmarkStart w:id="723" w:name="_Toc349127611"/>
      <w:bookmarkStart w:id="724" w:name="_Toc332206693"/>
      <w:bookmarkStart w:id="725" w:name="_Toc340677055"/>
      <w:bookmarkStart w:id="726" w:name="_Toc333935331"/>
      <w:bookmarkStart w:id="727" w:name="_Toc366072513"/>
      <w:bookmarkStart w:id="728" w:name="_Toc336681565"/>
      <w:bookmarkStart w:id="729" w:name="_Toc339441072"/>
      <w:bookmarkStart w:id="730" w:name="_Toc349143574"/>
      <w:bookmarkStart w:id="731" w:name="_Toc339362285"/>
      <w:bookmarkStart w:id="732" w:name="_Toc336681920"/>
      <w:bookmarkStart w:id="733" w:name="_Toc339020000"/>
      <w:bookmarkStart w:id="734" w:name="_Toc497224212"/>
      <w:bookmarkStart w:id="735" w:name="_Toc365967058"/>
      <w:bookmarkStart w:id="736" w:name="_Toc340507427"/>
      <w:bookmarkStart w:id="737" w:name="_Toc341348323"/>
      <w:bookmarkStart w:id="738" w:name="_Toc339019874"/>
      <w:bookmarkStart w:id="739" w:name="_Toc350438734"/>
      <w:bookmarkStart w:id="740" w:name="_Toc340672854"/>
      <w:bookmarkStart w:id="741" w:name="_Toc342296745"/>
      <w:bookmarkStart w:id="742" w:name="_Toc28801"/>
      <w:bookmarkStart w:id="743" w:name="_Toc333238618"/>
      <w:bookmarkStart w:id="744" w:name="_Toc339020218"/>
      <w:bookmarkStart w:id="745" w:name="_Toc331512883"/>
      <w:bookmarkStart w:id="746" w:name="_Toc503785414"/>
      <w:bookmarkStart w:id="747" w:name="_Toc374454585"/>
      <w:bookmarkStart w:id="748" w:name="_Toc339020080"/>
      <w:bookmarkStart w:id="749" w:name="_Toc345513852"/>
      <w:bookmarkStart w:id="750" w:name="_Toc342060359"/>
      <w:bookmarkStart w:id="751" w:name="_Toc337632343"/>
      <w:bookmarkStart w:id="752" w:name="_Toc365985164"/>
      <w:bookmarkStart w:id="753" w:name="_Toc333935672"/>
      <w:bookmarkStart w:id="754" w:name="_Toc333237662"/>
      <w:bookmarkStart w:id="755" w:name="_Toc330459970"/>
      <w:bookmarkStart w:id="756" w:name="_Toc332270331"/>
      <w:bookmarkStart w:id="757" w:name="_Toc331684023"/>
      <w:r>
        <w:rPr>
          <w:rFonts w:hint="eastAsia"/>
          <w:color w:val="000000" w:themeColor="text1"/>
          <w:highlight w:val="none"/>
          <w14:textFill>
            <w14:solidFill>
              <w14:schemeClr w14:val="tx1"/>
            </w14:solidFill>
          </w14:textFill>
        </w:rPr>
        <w:t>投标保证金</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758" w:name="_Toc349143575"/>
      <w:bookmarkStart w:id="759" w:name="_Toc339019875"/>
      <w:bookmarkStart w:id="760" w:name="_Toc340507428"/>
      <w:bookmarkStart w:id="761" w:name="_Toc342296746"/>
      <w:bookmarkStart w:id="762" w:name="_Toc20904"/>
      <w:bookmarkStart w:id="763" w:name="_Toc333237663"/>
      <w:bookmarkStart w:id="764" w:name="_Toc365967059"/>
      <w:bookmarkStart w:id="765" w:name="_Toc342060360"/>
      <w:bookmarkStart w:id="766" w:name="_Toc503785415"/>
      <w:bookmarkStart w:id="767" w:name="_Toc332270332"/>
      <w:bookmarkStart w:id="768" w:name="_Toc340677056"/>
      <w:bookmarkStart w:id="769" w:name="_Toc349127612"/>
      <w:bookmarkStart w:id="770" w:name="_Toc350438735"/>
      <w:bookmarkStart w:id="771" w:name="_Toc339020081"/>
      <w:bookmarkStart w:id="772" w:name="_Toc333935673"/>
      <w:bookmarkStart w:id="773" w:name="_Toc331684024"/>
      <w:bookmarkStart w:id="774" w:name="_Toc339362286"/>
      <w:bookmarkStart w:id="775" w:name="_Toc339020219"/>
      <w:bookmarkStart w:id="776" w:name="_Toc366072514"/>
      <w:bookmarkStart w:id="777" w:name="_Toc339020001"/>
      <w:bookmarkStart w:id="778" w:name="_Toc340672855"/>
      <w:bookmarkStart w:id="779" w:name="_Toc333935332"/>
      <w:bookmarkStart w:id="780" w:name="_Toc341348324"/>
      <w:bookmarkStart w:id="781" w:name="_Toc333238619"/>
      <w:bookmarkStart w:id="782" w:name="_Toc331512884"/>
      <w:bookmarkStart w:id="783" w:name="_Toc337632344"/>
      <w:bookmarkStart w:id="784" w:name="_Toc350756436"/>
      <w:bookmarkStart w:id="785" w:name="_Toc497224213"/>
      <w:bookmarkStart w:id="786" w:name="_Toc333237774"/>
      <w:bookmarkStart w:id="787" w:name="_Toc345513853"/>
      <w:bookmarkStart w:id="788" w:name="_Toc336681566"/>
      <w:bookmarkStart w:id="789" w:name="_Toc336681921"/>
      <w:bookmarkStart w:id="790" w:name="_Toc374454586"/>
      <w:bookmarkStart w:id="791" w:name="_Toc339441073"/>
      <w:bookmarkStart w:id="792" w:name="_Toc365985165"/>
      <w:bookmarkStart w:id="793" w:name="_Toc330459971"/>
      <w:bookmarkStart w:id="794" w:name="_Toc332206694"/>
      <w:r>
        <w:rPr>
          <w:rFonts w:hint="eastAsia"/>
          <w:color w:val="000000" w:themeColor="text1"/>
          <w:highlight w:val="none"/>
          <w14:textFill>
            <w14:solidFill>
              <w14:schemeClr w14:val="tx1"/>
            </w14:solidFill>
          </w14:textFill>
        </w:rPr>
        <w:t>投标有效期</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r>
        <w:rPr>
          <w:rFonts w:ascii="宋体"/>
          <w:bCs/>
          <w:color w:val="000000" w:themeColor="text1"/>
          <w:highlight w:val="none"/>
          <w14:textFill>
            <w14:solidFill>
              <w14:schemeClr w14:val="tx1"/>
            </w14:solidFill>
          </w14:textFill>
        </w:rPr>
        <w:t xml:space="preserve"> </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795" w:name="_Toc374454587"/>
      <w:bookmarkStart w:id="796" w:name="_Toc366072515"/>
      <w:bookmarkStart w:id="797" w:name="_Toc342060361"/>
      <w:bookmarkStart w:id="798" w:name="_Toc345513854"/>
      <w:bookmarkStart w:id="799" w:name="_Toc339020002"/>
      <w:bookmarkStart w:id="800" w:name="_Toc330459972"/>
      <w:bookmarkStart w:id="801" w:name="_Toc340677057"/>
      <w:bookmarkStart w:id="802" w:name="_Toc111534389"/>
      <w:bookmarkStart w:id="803" w:name="_Toc333238620"/>
      <w:bookmarkStart w:id="804" w:name="_Toc349127613"/>
      <w:bookmarkStart w:id="805" w:name="_Toc333237664"/>
      <w:bookmarkStart w:id="806" w:name="_Toc339362287"/>
      <w:bookmarkStart w:id="807" w:name="_Toc339020082"/>
      <w:bookmarkStart w:id="808" w:name="_Toc336681567"/>
      <w:bookmarkStart w:id="809" w:name="_Toc337632345"/>
      <w:bookmarkStart w:id="810" w:name="_Toc365985166"/>
      <w:bookmarkStart w:id="811" w:name="_Toc333935674"/>
      <w:bookmarkStart w:id="812" w:name="_Toc342296747"/>
      <w:bookmarkStart w:id="813" w:name="_Toc350756437"/>
      <w:bookmarkStart w:id="814" w:name="_Toc497224214"/>
      <w:bookmarkStart w:id="815" w:name="_Toc339019876"/>
      <w:bookmarkStart w:id="816" w:name="_Toc340507429"/>
      <w:bookmarkStart w:id="817" w:name="_Toc333935333"/>
      <w:bookmarkStart w:id="818" w:name="_Toc332206695"/>
      <w:bookmarkStart w:id="819" w:name="_Toc503785416"/>
      <w:bookmarkStart w:id="820" w:name="_Toc339020220"/>
      <w:bookmarkStart w:id="821" w:name="_Toc341348325"/>
      <w:bookmarkStart w:id="822" w:name="_Toc331512885"/>
      <w:bookmarkStart w:id="823" w:name="_Toc11295"/>
      <w:bookmarkStart w:id="824" w:name="_Toc331684025"/>
      <w:bookmarkStart w:id="825" w:name="_Toc333237775"/>
      <w:bookmarkStart w:id="826" w:name="_Toc340672856"/>
      <w:bookmarkStart w:id="827" w:name="_Toc349143576"/>
      <w:bookmarkStart w:id="828" w:name="_Toc332270333"/>
      <w:bookmarkStart w:id="829" w:name="_Toc339441074"/>
      <w:bookmarkStart w:id="830" w:name="_Toc336681922"/>
      <w:bookmarkStart w:id="831" w:name="_Toc350438736"/>
      <w:bookmarkStart w:id="832" w:name="_Toc365967060"/>
      <w:r>
        <w:rPr>
          <w:rFonts w:hint="eastAsia"/>
          <w:color w:val="000000" w:themeColor="text1"/>
          <w:highlight w:val="none"/>
          <w14:textFill>
            <w14:solidFill>
              <w14:schemeClr w14:val="tx1"/>
            </w14:solidFill>
          </w14:textFill>
        </w:rPr>
        <w:t>投标文件的签署及规定</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除投标人对差错处做必要修改外，投标文件中不允许有行间插字、涂改或增删，如有修改错漏处，必须由投标文件的签署人签字并在修改错漏处加盖公章，以示确认。</w:t>
      </w:r>
    </w:p>
    <w:p>
      <w:pPr>
        <w:pStyle w:val="3"/>
        <w:numPr>
          <w:ilvl w:val="0"/>
          <w:numId w:val="0"/>
        </w:numPr>
        <w:rPr>
          <w:color w:val="000000" w:themeColor="text1"/>
          <w:sz w:val="24"/>
          <w:highlight w:val="none"/>
          <w14:textFill>
            <w14:solidFill>
              <w14:schemeClr w14:val="tx1"/>
            </w14:solidFill>
          </w14:textFill>
        </w:rPr>
      </w:pPr>
      <w:bookmarkStart w:id="833" w:name="_Toc337632346"/>
      <w:bookmarkStart w:id="834" w:name="_Toc330459973"/>
      <w:bookmarkStart w:id="835" w:name="_Toc342060362"/>
      <w:bookmarkStart w:id="836" w:name="_Toc349127614"/>
      <w:bookmarkStart w:id="837" w:name="_Toc339441075"/>
      <w:bookmarkStart w:id="838" w:name="_Toc331512886"/>
      <w:bookmarkStart w:id="839" w:name="_Toc374454588"/>
      <w:bookmarkStart w:id="840" w:name="_Toc497224215"/>
      <w:bookmarkStart w:id="841" w:name="_Toc365985167"/>
      <w:bookmarkStart w:id="842" w:name="_Toc366072516"/>
      <w:bookmarkStart w:id="843" w:name="_Toc333935675"/>
      <w:bookmarkStart w:id="844" w:name="_Toc339019877"/>
      <w:bookmarkStart w:id="845" w:name="_Toc339020083"/>
      <w:bookmarkStart w:id="846" w:name="_Toc336681923"/>
      <w:bookmarkStart w:id="847" w:name="_Toc333238621"/>
      <w:bookmarkStart w:id="848" w:name="_Toc111534390"/>
      <w:bookmarkStart w:id="849" w:name="_Toc340672857"/>
      <w:bookmarkStart w:id="850" w:name="_Toc349143577"/>
      <w:bookmarkStart w:id="851" w:name="_Toc365967061"/>
      <w:bookmarkStart w:id="852" w:name="_Toc333935334"/>
      <w:bookmarkStart w:id="853" w:name="_Toc332206696"/>
      <w:bookmarkStart w:id="854" w:name="_Toc339020003"/>
      <w:bookmarkStart w:id="855" w:name="_Toc339020221"/>
      <w:bookmarkStart w:id="856" w:name="_Toc336681568"/>
      <w:bookmarkStart w:id="857" w:name="_Toc339362288"/>
      <w:bookmarkStart w:id="858" w:name="_Toc350438737"/>
      <w:bookmarkStart w:id="859" w:name="_Toc340677058"/>
      <w:bookmarkStart w:id="860" w:name="_Toc332270334"/>
      <w:bookmarkStart w:id="861" w:name="_Toc333237776"/>
      <w:bookmarkStart w:id="862" w:name="_Toc350756438"/>
      <w:bookmarkStart w:id="863" w:name="_Toc345513855"/>
      <w:bookmarkStart w:id="864" w:name="_Toc342296748"/>
      <w:bookmarkStart w:id="865" w:name="_Toc331684026"/>
      <w:bookmarkStart w:id="866" w:name="_Toc333237665"/>
      <w:bookmarkStart w:id="867" w:name="_Toc340507430"/>
      <w:bookmarkStart w:id="868" w:name="_Toc503785417"/>
      <w:bookmarkStart w:id="869" w:name="_Toc341348326"/>
      <w:r>
        <w:rPr>
          <w:color w:val="000000" w:themeColor="text1"/>
          <w:sz w:val="24"/>
          <w:highlight w:val="none"/>
          <w14:textFill>
            <w14:solidFill>
              <w14:schemeClr w14:val="tx1"/>
            </w14:solidFill>
          </w14:textFill>
        </w:rPr>
        <w:br w:type="page"/>
      </w:r>
      <w:bookmarkStart w:id="870" w:name="_Toc7904"/>
      <w:r>
        <w:rPr>
          <w:rFonts w:hint="eastAsia"/>
          <w:color w:val="000000" w:themeColor="text1"/>
          <w:sz w:val="24"/>
          <w:highlight w:val="none"/>
          <w14:textFill>
            <w14:solidFill>
              <w14:schemeClr w14:val="tx1"/>
            </w14:solidFill>
          </w14:textFill>
        </w:rPr>
        <w:t>Ｄ</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投标文件的递交</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pPr>
        <w:pStyle w:val="5"/>
        <w:numPr>
          <w:ilvl w:val="4"/>
          <w:numId w:val="3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71" w:name="_Toc339020004"/>
      <w:bookmarkStart w:id="872" w:name="_Toc339020222"/>
      <w:bookmarkStart w:id="873" w:name="_Toc365967062"/>
      <w:bookmarkStart w:id="874" w:name="_Toc331512887"/>
      <w:bookmarkStart w:id="875" w:name="_Toc366072517"/>
      <w:bookmarkStart w:id="876" w:name="_Toc332270335"/>
      <w:bookmarkStart w:id="877" w:name="_Toc349127615"/>
      <w:bookmarkStart w:id="878" w:name="_Toc333238622"/>
      <w:bookmarkStart w:id="879" w:name="_Toc333935676"/>
      <w:bookmarkStart w:id="880" w:name="_Toc111534391"/>
      <w:bookmarkStart w:id="881" w:name="_Toc336681924"/>
      <w:bookmarkStart w:id="882" w:name="_Toc333237666"/>
      <w:bookmarkStart w:id="883" w:name="_Toc497224216"/>
      <w:bookmarkStart w:id="884" w:name="_Toc332206697"/>
      <w:bookmarkStart w:id="885" w:name="_Toc339362289"/>
      <w:bookmarkStart w:id="886" w:name="_Toc339020084"/>
      <w:bookmarkStart w:id="887" w:name="_Toc336681569"/>
      <w:bookmarkStart w:id="888" w:name="_Toc350438738"/>
      <w:bookmarkStart w:id="889" w:name="_Toc349143578"/>
      <w:bookmarkStart w:id="890" w:name="_Toc340677059"/>
      <w:bookmarkStart w:id="891" w:name="_Toc339019878"/>
      <w:bookmarkStart w:id="892" w:name="_Toc340507431"/>
      <w:bookmarkStart w:id="893" w:name="_Toc330459974"/>
      <w:bookmarkStart w:id="894" w:name="_Toc342296749"/>
      <w:bookmarkStart w:id="895" w:name="_Toc333237777"/>
      <w:bookmarkStart w:id="896" w:name="_Toc337632347"/>
      <w:bookmarkStart w:id="897" w:name="_Toc331684027"/>
      <w:bookmarkStart w:id="898" w:name="_Toc350756439"/>
      <w:bookmarkStart w:id="899" w:name="_Toc341348327"/>
      <w:bookmarkStart w:id="900" w:name="_Toc340672858"/>
      <w:bookmarkStart w:id="901" w:name="_Toc365985168"/>
      <w:bookmarkStart w:id="902" w:name="_Toc342060363"/>
      <w:bookmarkStart w:id="903" w:name="_Toc333935335"/>
      <w:bookmarkStart w:id="904" w:name="_Toc503785418"/>
      <w:bookmarkStart w:id="905" w:name="_Toc345513856"/>
      <w:bookmarkStart w:id="906" w:name="_Toc339441076"/>
      <w:bookmarkStart w:id="907" w:name="_Toc374454589"/>
      <w:r>
        <w:rPr>
          <w:color w:val="000000" w:themeColor="text1"/>
          <w:highlight w:val="none"/>
          <w14:textFill>
            <w14:solidFill>
              <w14:schemeClr w14:val="tx1"/>
            </w14:solidFill>
          </w14:textFill>
        </w:rPr>
        <w:t xml:space="preserve"> </w:t>
      </w:r>
      <w:bookmarkStart w:id="908" w:name="_Toc3166"/>
      <w:r>
        <w:rPr>
          <w:rFonts w:hint="eastAsia"/>
          <w:color w:val="000000" w:themeColor="text1"/>
          <w:highlight w:val="none"/>
          <w14:textFill>
            <w14:solidFill>
              <w14:schemeClr w14:val="tx1"/>
            </w14:solidFill>
          </w14:textFill>
        </w:rPr>
        <w:t>投标文件的密封和标记</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pPr>
        <w:pStyle w:val="4"/>
        <w:rPr>
          <w:color w:val="000000" w:themeColor="text1"/>
          <w:highlight w:val="none"/>
          <w14:textFill>
            <w14:solidFill>
              <w14:schemeClr w14:val="tx1"/>
            </w14:solidFill>
          </w14:textFill>
        </w:rPr>
      </w:pPr>
      <w:bookmarkStart w:id="909" w:name="_Hlk499218605"/>
      <w:r>
        <w:rPr>
          <w:rFonts w:hint="eastAsia"/>
          <w:color w:val="000000" w:themeColor="text1"/>
          <w:highlight w:val="none"/>
          <w14:textFill>
            <w14:solidFill>
              <w14:schemeClr w14:val="tx1"/>
            </w14:solidFill>
          </w14:textFill>
        </w:rPr>
        <w:tab/>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bookmarkEnd w:id="909"/>
      <w:r>
        <w:rPr>
          <w:rFonts w:hint="eastAsia" w:ascii="黑体" w:eastAsia="黑体"/>
          <w:bCs/>
          <w:color w:val="000000" w:themeColor="text1"/>
          <w:kern w:val="2"/>
          <w:sz w:val="21"/>
          <w:szCs w:val="24"/>
          <w:highlight w:val="none"/>
          <w14:textFill>
            <w14:solidFill>
              <w14:schemeClr w14:val="tx1"/>
            </w14:solidFill>
          </w14:textFill>
        </w:rPr>
        <w:t>。</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910" w:name="_Toc339020223"/>
      <w:bookmarkStart w:id="911" w:name="_Toc366072518"/>
      <w:bookmarkStart w:id="912" w:name="_Toc331512888"/>
      <w:bookmarkStart w:id="913" w:name="_Toc374454590"/>
      <w:bookmarkStart w:id="914" w:name="_Toc340507432"/>
      <w:bookmarkStart w:id="915" w:name="_Toc333237667"/>
      <w:bookmarkStart w:id="916" w:name="_Toc339362290"/>
      <w:bookmarkStart w:id="917" w:name="_Toc332206698"/>
      <w:bookmarkStart w:id="918" w:name="_Toc341348328"/>
      <w:bookmarkStart w:id="919" w:name="_Toc349143579"/>
      <w:bookmarkStart w:id="920" w:name="_Toc336681925"/>
      <w:bookmarkStart w:id="921" w:name="_Toc339020085"/>
      <w:bookmarkStart w:id="922" w:name="_Toc497224217"/>
      <w:bookmarkStart w:id="923" w:name="_Toc365967063"/>
      <w:bookmarkStart w:id="924" w:name="_Toc111534392"/>
      <w:bookmarkStart w:id="925" w:name="_Toc333237778"/>
      <w:bookmarkStart w:id="926" w:name="_Toc19989"/>
      <w:bookmarkStart w:id="927" w:name="_Toc503785419"/>
      <w:bookmarkStart w:id="928" w:name="_Toc333935677"/>
      <w:bookmarkStart w:id="929" w:name="_Toc331684028"/>
      <w:bookmarkStart w:id="930" w:name="_Toc330459975"/>
      <w:bookmarkStart w:id="931" w:name="_Toc350756440"/>
      <w:bookmarkStart w:id="932" w:name="_Toc337632348"/>
      <w:bookmarkStart w:id="933" w:name="_Toc350438739"/>
      <w:bookmarkStart w:id="934" w:name="_Toc340672859"/>
      <w:bookmarkStart w:id="935" w:name="_Toc336681570"/>
      <w:bookmarkStart w:id="936" w:name="_Toc333935336"/>
      <w:bookmarkStart w:id="937" w:name="_Toc365985169"/>
      <w:bookmarkStart w:id="938" w:name="_Toc339020005"/>
      <w:bookmarkStart w:id="939" w:name="_Toc332270336"/>
      <w:bookmarkStart w:id="940" w:name="_Toc339441077"/>
      <w:bookmarkStart w:id="941" w:name="_Toc345513857"/>
      <w:bookmarkStart w:id="942" w:name="_Toc349127616"/>
      <w:bookmarkStart w:id="943" w:name="_Toc339019879"/>
      <w:bookmarkStart w:id="944" w:name="_Toc340677060"/>
      <w:bookmarkStart w:id="945" w:name="_Toc342296750"/>
      <w:bookmarkStart w:id="946" w:name="_Toc333238623"/>
      <w:bookmarkStart w:id="947" w:name="_Toc342060364"/>
      <w:r>
        <w:rPr>
          <w:rFonts w:hint="eastAsia"/>
          <w:color w:val="000000" w:themeColor="text1"/>
          <w:highlight w:val="none"/>
          <w14:textFill>
            <w14:solidFill>
              <w14:schemeClr w14:val="tx1"/>
            </w14:solidFill>
          </w14:textFill>
        </w:rPr>
        <w:t>递交投标文件的时间、地点及截止时间</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48" w:name="_Toc339020086"/>
      <w:bookmarkStart w:id="949" w:name="_Toc374454591"/>
      <w:bookmarkStart w:id="950" w:name="_Toc342060365"/>
      <w:bookmarkStart w:id="951" w:name="_Toc349143580"/>
      <w:bookmarkStart w:id="952" w:name="_Toc336681926"/>
      <w:bookmarkStart w:id="953" w:name="_Toc366072519"/>
      <w:bookmarkStart w:id="954" w:name="_Toc365967064"/>
      <w:bookmarkStart w:id="955" w:name="_Toc349127617"/>
      <w:bookmarkStart w:id="956" w:name="_Toc350438740"/>
      <w:bookmarkStart w:id="957" w:name="_Toc339020006"/>
      <w:bookmarkStart w:id="958" w:name="_Toc339362291"/>
      <w:bookmarkStart w:id="959" w:name="_Toc340507433"/>
      <w:bookmarkStart w:id="960" w:name="_Toc333935337"/>
      <w:bookmarkStart w:id="961" w:name="_Toc340672860"/>
      <w:bookmarkStart w:id="962" w:name="_Toc332270337"/>
      <w:bookmarkStart w:id="963" w:name="_Toc336681571"/>
      <w:bookmarkStart w:id="964" w:name="_Toc503785420"/>
      <w:bookmarkStart w:id="965" w:name="_Toc333237668"/>
      <w:bookmarkStart w:id="966" w:name="_Toc339019880"/>
      <w:bookmarkStart w:id="967" w:name="_Toc337632349"/>
      <w:bookmarkStart w:id="968" w:name="_Toc341348329"/>
      <w:bookmarkStart w:id="969" w:name="_Toc497224218"/>
      <w:bookmarkStart w:id="970" w:name="_Toc331512889"/>
      <w:bookmarkStart w:id="971" w:name="_Toc339020224"/>
      <w:bookmarkStart w:id="972" w:name="_Toc350756441"/>
      <w:bookmarkStart w:id="973" w:name="_Toc342296751"/>
      <w:bookmarkStart w:id="974" w:name="_Toc333238624"/>
      <w:bookmarkStart w:id="975" w:name="_Toc331684029"/>
      <w:bookmarkStart w:id="976" w:name="_Toc365985170"/>
      <w:bookmarkStart w:id="977" w:name="_Toc340677061"/>
      <w:bookmarkStart w:id="978" w:name="_Toc332206699"/>
      <w:bookmarkStart w:id="979" w:name="_Toc333935678"/>
      <w:bookmarkStart w:id="980" w:name="_Toc345513858"/>
      <w:bookmarkStart w:id="981" w:name="_Toc330459976"/>
      <w:bookmarkStart w:id="982" w:name="_Toc333237779"/>
      <w:bookmarkStart w:id="983" w:name="_Toc339441078"/>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代理采购机构于投标截止时间前30分钟开始接收投标文件，并于招标文件“第一部分投标邀请函”规定的开标时间、开标地点公开开标。</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984" w:name="_Toc6161"/>
      <w:r>
        <w:rPr>
          <w:rFonts w:hint="eastAsia"/>
          <w:color w:val="000000" w:themeColor="text1"/>
          <w:highlight w:val="none"/>
          <w14:textFill>
            <w14:solidFill>
              <w14:schemeClr w14:val="tx1"/>
            </w14:solidFill>
          </w14:textFill>
        </w:rPr>
        <w:t>迟交的投标文件</w:t>
      </w:r>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985" w:name="_Toc503785421"/>
      <w:bookmarkStart w:id="986" w:name="_Toc497224219"/>
      <w:bookmarkStart w:id="987" w:name="_Toc339362292"/>
      <w:bookmarkStart w:id="988" w:name="_Toc331512890"/>
      <w:bookmarkStart w:id="989" w:name="_Toc341348330"/>
      <w:bookmarkStart w:id="990" w:name="_Toc333935338"/>
      <w:bookmarkStart w:id="991" w:name="_Toc333935679"/>
      <w:bookmarkStart w:id="992" w:name="_Toc350438741"/>
      <w:bookmarkStart w:id="993" w:name="_Toc349143581"/>
      <w:bookmarkStart w:id="994" w:name="_Toc339019881"/>
      <w:bookmarkStart w:id="995" w:name="_Toc333238625"/>
      <w:bookmarkStart w:id="996" w:name="_Toc333237780"/>
      <w:bookmarkStart w:id="997" w:name="_Toc374454592"/>
      <w:bookmarkStart w:id="998" w:name="_Toc342060366"/>
      <w:bookmarkStart w:id="999" w:name="_Toc17322"/>
      <w:bookmarkStart w:id="1000" w:name="_Toc336681927"/>
      <w:bookmarkStart w:id="1001" w:name="_Toc365985171"/>
      <w:bookmarkStart w:id="1002" w:name="_Toc342296752"/>
      <w:bookmarkStart w:id="1003" w:name="_Toc340507434"/>
      <w:bookmarkStart w:id="1004" w:name="_Toc333237669"/>
      <w:bookmarkStart w:id="1005" w:name="_Toc340672861"/>
      <w:bookmarkStart w:id="1006" w:name="_Toc340677062"/>
      <w:bookmarkStart w:id="1007" w:name="_Toc339020007"/>
      <w:bookmarkStart w:id="1008" w:name="_Toc366072520"/>
      <w:bookmarkStart w:id="1009" w:name="_Toc332270338"/>
      <w:bookmarkStart w:id="1010" w:name="_Toc339020225"/>
      <w:bookmarkStart w:id="1011" w:name="_Toc349127618"/>
      <w:bookmarkStart w:id="1012" w:name="_Toc331684030"/>
      <w:bookmarkStart w:id="1013" w:name="_Toc350756442"/>
      <w:bookmarkStart w:id="1014" w:name="_Toc339441079"/>
      <w:bookmarkStart w:id="1015" w:name="_Toc365967065"/>
      <w:bookmarkStart w:id="1016" w:name="_Toc339020087"/>
      <w:bookmarkStart w:id="1017" w:name="_Toc337632350"/>
      <w:bookmarkStart w:id="1018" w:name="_Toc332206700"/>
      <w:bookmarkStart w:id="1019" w:name="_Toc330459977"/>
      <w:bookmarkStart w:id="1020" w:name="_Toc336681572"/>
      <w:bookmarkStart w:id="1021" w:name="_Toc345513859"/>
      <w:r>
        <w:rPr>
          <w:rFonts w:hint="eastAsia"/>
          <w:color w:val="000000" w:themeColor="text1"/>
          <w:highlight w:val="none"/>
          <w14:textFill>
            <w14:solidFill>
              <w14:schemeClr w14:val="tx1"/>
            </w14:solidFill>
          </w14:textFill>
        </w:rPr>
        <w:t>投标文件的修改和撤</w:t>
      </w:r>
      <w:bookmarkEnd w:id="985"/>
      <w:bookmarkEnd w:id="986"/>
      <w:r>
        <w:rPr>
          <w:rFonts w:hint="eastAsia"/>
          <w:color w:val="000000" w:themeColor="text1"/>
          <w:highlight w:val="none"/>
          <w14:textFill>
            <w14:solidFill>
              <w14:schemeClr w14:val="tx1"/>
            </w14:solidFill>
          </w14:textFill>
        </w:rPr>
        <w:t>回</w:t>
      </w:r>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3"/>
        <w:numPr>
          <w:ilvl w:val="0"/>
          <w:numId w:val="0"/>
        </w:numPr>
        <w:rPr>
          <w:color w:val="000000" w:themeColor="text1"/>
          <w:sz w:val="24"/>
          <w:highlight w:val="none"/>
          <w14:textFill>
            <w14:solidFill>
              <w14:schemeClr w14:val="tx1"/>
            </w14:solidFill>
          </w14:textFill>
        </w:rPr>
      </w:pPr>
      <w:bookmarkStart w:id="1022" w:name="_Toc497224220"/>
      <w:bookmarkStart w:id="1023" w:name="_Toc332270339"/>
      <w:bookmarkStart w:id="1024" w:name="_Toc339020008"/>
      <w:bookmarkStart w:id="1025" w:name="_Toc336681928"/>
      <w:bookmarkStart w:id="1026" w:name="_Toc349127619"/>
      <w:bookmarkStart w:id="1027" w:name="_Toc365967066"/>
      <w:bookmarkStart w:id="1028" w:name="_Toc333238626"/>
      <w:bookmarkStart w:id="1029" w:name="_Toc374454593"/>
      <w:bookmarkStart w:id="1030" w:name="_Toc342060367"/>
      <w:bookmarkStart w:id="1031" w:name="_Toc333935680"/>
      <w:bookmarkStart w:id="1032" w:name="_Toc350756443"/>
      <w:bookmarkStart w:id="1033" w:name="_Toc349143582"/>
      <w:bookmarkStart w:id="1034" w:name="_Toc336681573"/>
      <w:bookmarkStart w:id="1035" w:name="_Toc339441080"/>
      <w:bookmarkStart w:id="1036" w:name="_Toc342296753"/>
      <w:bookmarkStart w:id="1037" w:name="_Toc330459978"/>
      <w:bookmarkStart w:id="1038" w:name="_Toc333237670"/>
      <w:bookmarkStart w:id="1039" w:name="_Toc339020088"/>
      <w:bookmarkStart w:id="1040" w:name="_Toc331684031"/>
      <w:bookmarkStart w:id="1041" w:name="_Toc366072521"/>
      <w:bookmarkStart w:id="1042" w:name="_Toc503785422"/>
      <w:bookmarkStart w:id="1043" w:name="_Toc345513860"/>
      <w:bookmarkStart w:id="1044" w:name="_Toc333237781"/>
      <w:bookmarkStart w:id="1045" w:name="_Toc337632351"/>
      <w:bookmarkStart w:id="1046" w:name="_Toc339019882"/>
      <w:bookmarkStart w:id="1047" w:name="_Toc332206701"/>
      <w:bookmarkStart w:id="1048" w:name="_Toc341348331"/>
      <w:bookmarkStart w:id="1049" w:name="_Toc340672862"/>
      <w:bookmarkStart w:id="1050" w:name="_Toc365985172"/>
      <w:bookmarkStart w:id="1051" w:name="_Toc340507435"/>
      <w:bookmarkStart w:id="1052" w:name="_Toc331512891"/>
      <w:bookmarkStart w:id="1053" w:name="_Toc333935339"/>
      <w:bookmarkStart w:id="1054" w:name="_Toc339020226"/>
      <w:bookmarkStart w:id="1055" w:name="_Toc340677063"/>
      <w:bookmarkStart w:id="1056" w:name="_Toc339362293"/>
      <w:bookmarkStart w:id="1057" w:name="_Toc350438742"/>
      <w:r>
        <w:rPr>
          <w:color w:val="000000" w:themeColor="text1"/>
          <w:sz w:val="24"/>
          <w:highlight w:val="none"/>
          <w14:textFill>
            <w14:solidFill>
              <w14:schemeClr w14:val="tx1"/>
            </w14:solidFill>
          </w14:textFill>
        </w:rPr>
        <w:br w:type="page"/>
      </w:r>
      <w:bookmarkStart w:id="1058" w:name="_Toc16232"/>
      <w:r>
        <w:rPr>
          <w:rFonts w:hint="eastAsia"/>
          <w:color w:val="000000" w:themeColor="text1"/>
          <w:sz w:val="24"/>
          <w:highlight w:val="none"/>
          <w14:textFill>
            <w14:solidFill>
              <w14:schemeClr w14:val="tx1"/>
            </w14:solidFill>
          </w14:textFill>
        </w:rPr>
        <w:t>Ｅ</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开标和评标</w:t>
      </w:r>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059" w:name="_Toc339019883"/>
      <w:bookmarkStart w:id="1060" w:name="_Toc330459979"/>
      <w:bookmarkStart w:id="1061" w:name="_Toc342296754"/>
      <w:bookmarkStart w:id="1062" w:name="_Toc341348332"/>
      <w:bookmarkStart w:id="1063" w:name="_Toc333237671"/>
      <w:bookmarkStart w:id="1064" w:name="_Toc336681929"/>
      <w:bookmarkStart w:id="1065" w:name="_Toc365985173"/>
      <w:bookmarkStart w:id="1066" w:name="_Toc336681574"/>
      <w:bookmarkStart w:id="1067" w:name="_Toc503785423"/>
      <w:bookmarkStart w:id="1068" w:name="_Toc333935681"/>
      <w:bookmarkStart w:id="1069" w:name="_Toc497224221"/>
      <w:bookmarkStart w:id="1070" w:name="_Toc366072522"/>
      <w:bookmarkStart w:id="1071" w:name="_Toc333935340"/>
      <w:bookmarkStart w:id="1072" w:name="_Toc365967067"/>
      <w:bookmarkStart w:id="1073" w:name="_Toc374454594"/>
      <w:bookmarkStart w:id="1074" w:name="_Toc331684032"/>
      <w:bookmarkStart w:id="1075" w:name="_Toc345513861"/>
      <w:bookmarkStart w:id="1076" w:name="_Toc339020089"/>
      <w:bookmarkStart w:id="1077" w:name="_Toc340507436"/>
      <w:bookmarkStart w:id="1078" w:name="_Toc350756444"/>
      <w:bookmarkStart w:id="1079" w:name="_Toc339362294"/>
      <w:bookmarkStart w:id="1080" w:name="_Toc349143583"/>
      <w:bookmarkStart w:id="1081" w:name="_Toc349127620"/>
      <w:bookmarkStart w:id="1082" w:name="_Toc332270340"/>
      <w:bookmarkStart w:id="1083" w:name="_Toc332206702"/>
      <w:bookmarkStart w:id="1084" w:name="_Toc339020227"/>
      <w:bookmarkStart w:id="1085" w:name="_Toc339441081"/>
      <w:bookmarkStart w:id="1086" w:name="_Toc340672863"/>
      <w:bookmarkStart w:id="1087" w:name="_Toc340677064"/>
      <w:bookmarkStart w:id="1088" w:name="_Toc350438743"/>
      <w:bookmarkStart w:id="1089" w:name="_Toc342060368"/>
      <w:bookmarkStart w:id="1090" w:name="_Toc331512892"/>
      <w:bookmarkStart w:id="1091" w:name="_Toc339020009"/>
      <w:bookmarkStart w:id="1092" w:name="_Toc333238627"/>
      <w:bookmarkStart w:id="1093" w:name="_Toc333237782"/>
      <w:bookmarkStart w:id="1094" w:name="_Toc337632352"/>
      <w:bookmarkStart w:id="1095" w:name="_Toc16131"/>
      <w:r>
        <w:rPr>
          <w:rFonts w:hint="eastAsia"/>
          <w:color w:val="000000" w:themeColor="text1"/>
          <w:highlight w:val="none"/>
          <w14:textFill>
            <w14:solidFill>
              <w14:schemeClr w14:val="tx1"/>
            </w14:solidFill>
          </w14:textFill>
        </w:rPr>
        <w:t>开标</w:t>
      </w:r>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唱标结束后，代理采购机构将做唱标记录，并按规定在唱标记录上签字。</w:t>
      </w:r>
    </w:p>
    <w:p>
      <w:pPr>
        <w:pStyle w:val="5"/>
        <w:numPr>
          <w:ilvl w:val="4"/>
          <w:numId w:val="3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96" w:name="_Toc374454595"/>
      <w:bookmarkStart w:id="1097" w:name="_Toc333935341"/>
      <w:bookmarkStart w:id="1098" w:name="_Toc336681575"/>
      <w:bookmarkStart w:id="1099" w:name="_Toc365985174"/>
      <w:bookmarkStart w:id="1100" w:name="_Toc332270341"/>
      <w:bookmarkStart w:id="1101" w:name="_Toc340672864"/>
      <w:bookmarkStart w:id="1102" w:name="_Toc365967068"/>
      <w:bookmarkStart w:id="1103" w:name="_Toc340677065"/>
      <w:bookmarkStart w:id="1104" w:name="_Toc331684033"/>
      <w:bookmarkStart w:id="1105" w:name="_Toc23648"/>
      <w:bookmarkStart w:id="1106" w:name="_Toc342296755"/>
      <w:bookmarkStart w:id="1107" w:name="_Toc332206703"/>
      <w:bookmarkStart w:id="1108" w:name="_Toc333237783"/>
      <w:bookmarkStart w:id="1109" w:name="_Toc339020010"/>
      <w:bookmarkStart w:id="1110" w:name="_Toc337632353"/>
      <w:bookmarkStart w:id="1111" w:name="_Toc350756445"/>
      <w:bookmarkStart w:id="1112" w:name="_Toc342060369"/>
      <w:bookmarkStart w:id="1113" w:name="_Toc331512893"/>
      <w:bookmarkStart w:id="1114" w:name="_Toc350438744"/>
      <w:bookmarkStart w:id="1115" w:name="_Toc336681930"/>
      <w:bookmarkStart w:id="1116" w:name="_Toc330459980"/>
      <w:bookmarkStart w:id="1117" w:name="_Toc339019884"/>
      <w:bookmarkStart w:id="1118" w:name="_Toc341348333"/>
      <w:bookmarkStart w:id="1119" w:name="_Toc349127621"/>
      <w:bookmarkStart w:id="1120" w:name="_Toc333238628"/>
      <w:bookmarkStart w:id="1121" w:name="_Toc333935682"/>
      <w:bookmarkStart w:id="1122" w:name="_Toc349143584"/>
      <w:bookmarkStart w:id="1123" w:name="_Toc333237672"/>
      <w:bookmarkStart w:id="1124" w:name="_Toc503785424"/>
      <w:bookmarkStart w:id="1125" w:name="_Toc339020090"/>
      <w:bookmarkStart w:id="1126" w:name="_Toc339020228"/>
      <w:bookmarkStart w:id="1127" w:name="_Toc339441082"/>
      <w:bookmarkStart w:id="1128" w:name="_Toc366072523"/>
      <w:bookmarkStart w:id="1129" w:name="_Toc345513862"/>
      <w:bookmarkStart w:id="1130" w:name="_Toc339362295"/>
      <w:bookmarkStart w:id="1131" w:name="_Toc497224222"/>
      <w:bookmarkStart w:id="1132" w:name="_Toc340507437"/>
      <w:r>
        <w:rPr>
          <w:rFonts w:hint="eastAsia"/>
          <w:color w:val="000000" w:themeColor="text1"/>
          <w:highlight w:val="none"/>
          <w14:textFill>
            <w14:solidFill>
              <w14:schemeClr w14:val="tx1"/>
            </w14:solidFill>
          </w14:textFill>
        </w:rPr>
        <w:t>评标委员会</w:t>
      </w:r>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r>
        <w:rPr>
          <w:rFonts w:hint="eastAsia" w:ascii="宋体" w:hAnsi="宋体"/>
          <w:color w:val="000000" w:themeColor="text1"/>
          <w:highlight w:val="none"/>
          <w14:textFill>
            <w14:solidFill>
              <w14:schemeClr w14:val="tx1"/>
            </w14:solidFill>
          </w14:textFill>
        </w:rPr>
        <w:t xml:space="preserve"> </w:t>
      </w:r>
    </w:p>
    <w:p>
      <w:pPr>
        <w:pStyle w:val="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133" w:name="_Toc349143585"/>
      <w:bookmarkStart w:id="1134" w:name="_Toc339362296"/>
      <w:bookmarkStart w:id="1135" w:name="_Toc341348334"/>
      <w:bookmarkStart w:id="1136" w:name="_Toc365967069"/>
      <w:bookmarkStart w:id="1137" w:name="_Toc374454596"/>
      <w:bookmarkStart w:id="1138" w:name="_Toc339020091"/>
      <w:bookmarkStart w:id="1139" w:name="_Toc366072524"/>
      <w:bookmarkStart w:id="1140" w:name="_Toc333237673"/>
      <w:bookmarkStart w:id="1141" w:name="_Toc340507438"/>
      <w:bookmarkStart w:id="1142" w:name="_Toc503785425"/>
      <w:bookmarkStart w:id="1143" w:name="_Toc342296756"/>
      <w:bookmarkStart w:id="1144" w:name="_Toc350756446"/>
      <w:bookmarkStart w:id="1145" w:name="_Toc333935683"/>
      <w:bookmarkStart w:id="1146" w:name="_Toc350438745"/>
      <w:bookmarkStart w:id="1147" w:name="_Toc342060370"/>
      <w:bookmarkStart w:id="1148" w:name="_Toc331684034"/>
      <w:bookmarkStart w:id="1149" w:name="_Toc333935342"/>
      <w:bookmarkStart w:id="1150" w:name="_Toc365985175"/>
      <w:bookmarkStart w:id="1151" w:name="_Toc330459981"/>
      <w:bookmarkStart w:id="1152" w:name="_Toc333237784"/>
      <w:bookmarkStart w:id="1153" w:name="_Toc333238629"/>
      <w:bookmarkStart w:id="1154" w:name="_Toc339020229"/>
      <w:bookmarkStart w:id="1155" w:name="_Toc339441083"/>
      <w:bookmarkStart w:id="1156" w:name="_Toc337632354"/>
      <w:bookmarkStart w:id="1157" w:name="_Toc332206704"/>
      <w:bookmarkStart w:id="1158" w:name="_Toc497224223"/>
      <w:bookmarkStart w:id="1159" w:name="_Toc345513863"/>
      <w:bookmarkStart w:id="1160" w:name="_Toc4521"/>
      <w:bookmarkStart w:id="1161" w:name="_Toc336681931"/>
      <w:bookmarkStart w:id="1162" w:name="_Toc339020011"/>
      <w:bookmarkStart w:id="1163" w:name="_Toc340672865"/>
      <w:bookmarkStart w:id="1164" w:name="_Toc336681576"/>
      <w:bookmarkStart w:id="1165" w:name="_Toc332270342"/>
      <w:bookmarkStart w:id="1166" w:name="_Toc349127622"/>
      <w:bookmarkStart w:id="1167" w:name="_Toc331512894"/>
      <w:bookmarkStart w:id="1168" w:name="_Toc340677066"/>
      <w:bookmarkStart w:id="1169" w:name="_Toc339019885"/>
      <w:r>
        <w:rPr>
          <w:rFonts w:hint="eastAsia"/>
          <w:color w:val="000000" w:themeColor="text1"/>
          <w:highlight w:val="none"/>
          <w14:textFill>
            <w14:solidFill>
              <w14:schemeClr w14:val="tx1"/>
            </w14:solidFill>
          </w14:textFill>
        </w:rPr>
        <w:t>对投标文件的初审和响应性的确定</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ascii="宋体"/>
          <w:bCs/>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3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3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3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未有法定代表人（负责人）或者被授权人签名的；</w:t>
      </w:r>
    </w:p>
    <w:p>
      <w:pPr>
        <w:numPr>
          <w:ilvl w:val="0"/>
          <w:numId w:val="3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3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3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3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3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3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3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170" w:name="_Toc331512895"/>
      <w:bookmarkStart w:id="1171" w:name="_Toc342296757"/>
      <w:bookmarkStart w:id="1172" w:name="_Toc365967070"/>
      <w:bookmarkStart w:id="1173" w:name="_Toc336681932"/>
      <w:bookmarkStart w:id="1174" w:name="_Toc341348335"/>
      <w:bookmarkStart w:id="1175" w:name="_Toc333237785"/>
      <w:bookmarkStart w:id="1176" w:name="_Toc340672866"/>
      <w:bookmarkStart w:id="1177" w:name="_Toc333237674"/>
      <w:bookmarkStart w:id="1178" w:name="_Toc339019886"/>
      <w:bookmarkStart w:id="1179" w:name="_Toc366072525"/>
      <w:bookmarkStart w:id="1180" w:name="_Toc339020012"/>
      <w:bookmarkStart w:id="1181" w:name="_Toc25565"/>
      <w:bookmarkStart w:id="1182" w:name="_Toc342060371"/>
      <w:bookmarkStart w:id="1183" w:name="_Toc365985176"/>
      <w:bookmarkStart w:id="1184" w:name="_Toc332206705"/>
      <w:bookmarkStart w:id="1185" w:name="_Toc350438746"/>
      <w:bookmarkStart w:id="1186" w:name="_Toc349143586"/>
      <w:bookmarkStart w:id="1187" w:name="_Toc333238630"/>
      <w:bookmarkStart w:id="1188" w:name="_Toc339020092"/>
      <w:bookmarkStart w:id="1189" w:name="_Toc339020230"/>
      <w:bookmarkStart w:id="1190" w:name="_Toc330459982"/>
      <w:bookmarkStart w:id="1191" w:name="_Toc350756447"/>
      <w:bookmarkStart w:id="1192" w:name="_Toc340677067"/>
      <w:bookmarkStart w:id="1193" w:name="_Toc331684035"/>
      <w:bookmarkStart w:id="1194" w:name="_Toc337632355"/>
      <w:bookmarkStart w:id="1195" w:name="_Toc339441084"/>
      <w:bookmarkStart w:id="1196" w:name="_Toc333935684"/>
      <w:bookmarkStart w:id="1197" w:name="_Toc340507439"/>
      <w:bookmarkStart w:id="1198" w:name="_Toc333935343"/>
      <w:bookmarkStart w:id="1199" w:name="_Toc374454597"/>
      <w:bookmarkStart w:id="1200" w:name="_Toc336681577"/>
      <w:bookmarkStart w:id="1201" w:name="_Toc332270343"/>
      <w:bookmarkStart w:id="1202" w:name="_Toc349127623"/>
      <w:bookmarkStart w:id="1203" w:name="_Toc345513864"/>
      <w:bookmarkStart w:id="1204" w:name="_Toc339362297"/>
      <w:r>
        <w:rPr>
          <w:rFonts w:hint="eastAsia"/>
          <w:color w:val="000000" w:themeColor="text1"/>
          <w:highlight w:val="none"/>
          <w14:textFill>
            <w14:solidFill>
              <w14:schemeClr w14:val="tx1"/>
            </w14:solidFill>
          </w14:textFill>
        </w:rPr>
        <w:t>投标报价的审核</w:t>
      </w:r>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24.1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205" w:name="_Toc339020093"/>
      <w:bookmarkStart w:id="1206" w:name="_Toc349127624"/>
      <w:bookmarkStart w:id="1207" w:name="_Toc333935685"/>
      <w:bookmarkStart w:id="1208" w:name="_Toc340507440"/>
      <w:bookmarkStart w:id="1209" w:name="_Toc350438747"/>
      <w:bookmarkStart w:id="1210" w:name="_Toc333935344"/>
      <w:bookmarkStart w:id="1211" w:name="_Toc337632356"/>
      <w:bookmarkStart w:id="1212" w:name="_Toc333238631"/>
      <w:bookmarkStart w:id="1213" w:name="_Toc339020013"/>
      <w:bookmarkStart w:id="1214" w:name="_Toc503785426"/>
      <w:bookmarkStart w:id="1215" w:name="_Toc342296758"/>
      <w:bookmarkStart w:id="1216" w:name="_Toc336681578"/>
      <w:bookmarkStart w:id="1217" w:name="_Toc340677068"/>
      <w:bookmarkStart w:id="1218" w:name="_Toc340672867"/>
      <w:bookmarkStart w:id="1219" w:name="_Toc497224224"/>
      <w:bookmarkStart w:id="1220" w:name="_Toc333237675"/>
      <w:bookmarkStart w:id="1221" w:name="_Toc350756448"/>
      <w:bookmarkStart w:id="1222" w:name="_Toc374454598"/>
      <w:bookmarkStart w:id="1223" w:name="_Toc336681933"/>
      <w:bookmarkStart w:id="1224" w:name="_Toc365967071"/>
      <w:bookmarkStart w:id="1225" w:name="_Toc341348336"/>
      <w:bookmarkStart w:id="1226" w:name="_Toc332270344"/>
      <w:bookmarkStart w:id="1227" w:name="_Toc366072526"/>
      <w:bookmarkStart w:id="1228" w:name="_Toc349143587"/>
      <w:bookmarkStart w:id="1229" w:name="_Toc331512896"/>
      <w:bookmarkStart w:id="1230" w:name="_Toc332206706"/>
      <w:bookmarkStart w:id="1231" w:name="_Toc331684036"/>
      <w:bookmarkStart w:id="1232" w:name="_Toc339020231"/>
      <w:bookmarkStart w:id="1233" w:name="_Toc330459983"/>
      <w:bookmarkStart w:id="1234" w:name="_Toc339441085"/>
      <w:bookmarkStart w:id="1235" w:name="_Toc2184"/>
      <w:bookmarkStart w:id="1236" w:name="_Toc365985177"/>
      <w:bookmarkStart w:id="1237" w:name="_Toc345513865"/>
      <w:bookmarkStart w:id="1238" w:name="_Toc339362298"/>
      <w:bookmarkStart w:id="1239" w:name="_Toc339019887"/>
      <w:bookmarkStart w:id="1240" w:name="_Toc342060372"/>
      <w:bookmarkStart w:id="1241" w:name="_Toc333237786"/>
      <w:r>
        <w:rPr>
          <w:rFonts w:hint="eastAsia"/>
          <w:color w:val="000000" w:themeColor="text1"/>
          <w:highlight w:val="none"/>
          <w14:textFill>
            <w14:solidFill>
              <w14:schemeClr w14:val="tx1"/>
            </w14:solidFill>
          </w14:textFill>
        </w:rPr>
        <w:t>询标及投标文件的澄清</w:t>
      </w:r>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242" w:name="_Toc330459984"/>
      <w:bookmarkStart w:id="1243" w:name="_Toc339441086"/>
      <w:bookmarkStart w:id="1244" w:name="_Toc339020014"/>
      <w:bookmarkStart w:id="1245" w:name="_Toc339019888"/>
      <w:bookmarkStart w:id="1246" w:name="_Toc333935345"/>
      <w:bookmarkStart w:id="1247" w:name="_Toc333238632"/>
      <w:bookmarkStart w:id="1248" w:name="_Toc339362299"/>
      <w:bookmarkStart w:id="1249" w:name="_Toc340672868"/>
      <w:bookmarkStart w:id="1250" w:name="_Toc365967072"/>
      <w:bookmarkStart w:id="1251" w:name="_Toc349127625"/>
      <w:bookmarkStart w:id="1252" w:name="_Toc333935686"/>
      <w:bookmarkStart w:id="1253" w:name="_Toc365985178"/>
      <w:bookmarkStart w:id="1254" w:name="_Toc366072527"/>
      <w:bookmarkStart w:id="1255" w:name="_Toc332270345"/>
      <w:bookmarkStart w:id="1256" w:name="_Toc350438748"/>
      <w:bookmarkStart w:id="1257" w:name="_Toc331684037"/>
      <w:bookmarkStart w:id="1258" w:name="_Toc337632357"/>
      <w:bookmarkStart w:id="1259" w:name="_Toc374454599"/>
      <w:bookmarkStart w:id="1260" w:name="_Toc342060373"/>
      <w:bookmarkStart w:id="1261" w:name="_Toc342296759"/>
      <w:bookmarkStart w:id="1262" w:name="_Toc333237787"/>
      <w:bookmarkStart w:id="1263" w:name="_Toc339020232"/>
      <w:bookmarkStart w:id="1264" w:name="_Toc340677069"/>
      <w:bookmarkStart w:id="1265" w:name="_Toc336681934"/>
      <w:bookmarkStart w:id="1266" w:name="_Toc339020094"/>
      <w:bookmarkStart w:id="1267" w:name="_Toc332206707"/>
      <w:bookmarkStart w:id="1268" w:name="_Toc331512897"/>
      <w:bookmarkStart w:id="1269" w:name="_Toc341348337"/>
      <w:bookmarkStart w:id="1270" w:name="_Toc349143588"/>
      <w:bookmarkStart w:id="1271" w:name="_Toc345513866"/>
      <w:bookmarkStart w:id="1272" w:name="_Toc13409"/>
      <w:bookmarkStart w:id="1273" w:name="_Toc340507441"/>
      <w:bookmarkStart w:id="1274" w:name="_Toc350756449"/>
      <w:bookmarkStart w:id="1275" w:name="_Toc333237676"/>
      <w:bookmarkStart w:id="1276" w:name="_Toc336681579"/>
      <w:r>
        <w:rPr>
          <w:rFonts w:hint="eastAsia"/>
          <w:color w:val="000000" w:themeColor="text1"/>
          <w:highlight w:val="none"/>
          <w14:textFill>
            <w14:solidFill>
              <w14:schemeClr w14:val="tx1"/>
            </w14:solidFill>
          </w14:textFill>
        </w:rPr>
        <w:t>评标原则</w:t>
      </w:r>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277" w:name="_Toc333237677"/>
      <w:bookmarkStart w:id="1278" w:name="_Toc340677070"/>
      <w:bookmarkStart w:id="1279" w:name="_Toc330459985"/>
      <w:bookmarkStart w:id="1280" w:name="_Toc331512898"/>
      <w:bookmarkStart w:id="1281" w:name="_Toc339020015"/>
      <w:bookmarkStart w:id="1282" w:name="_Toc365985179"/>
      <w:bookmarkStart w:id="1283" w:name="_Toc349143589"/>
      <w:bookmarkStart w:id="1284" w:name="_Toc337632358"/>
      <w:bookmarkStart w:id="1285" w:name="_Toc339020233"/>
      <w:bookmarkStart w:id="1286" w:name="_Toc336681935"/>
      <w:bookmarkStart w:id="1287" w:name="_Toc365967073"/>
      <w:bookmarkStart w:id="1288" w:name="_Toc340672869"/>
      <w:bookmarkStart w:id="1289" w:name="_Toc339362300"/>
      <w:bookmarkStart w:id="1290" w:name="_Toc333237788"/>
      <w:bookmarkStart w:id="1291" w:name="_Toc349127626"/>
      <w:bookmarkStart w:id="1292" w:name="_Toc350756450"/>
      <w:bookmarkStart w:id="1293" w:name="_Toc339441087"/>
      <w:bookmarkStart w:id="1294" w:name="_Toc333238633"/>
      <w:bookmarkStart w:id="1295" w:name="_Toc336681580"/>
      <w:bookmarkStart w:id="1296" w:name="_Toc339020095"/>
      <w:bookmarkStart w:id="1297" w:name="_Toc342296760"/>
      <w:bookmarkStart w:id="1298" w:name="_Toc350438749"/>
      <w:bookmarkStart w:id="1299" w:name="_Toc366072528"/>
      <w:bookmarkStart w:id="1300" w:name="_Toc332270346"/>
      <w:bookmarkStart w:id="1301" w:name="_Toc342060374"/>
      <w:bookmarkStart w:id="1302" w:name="_Toc24632"/>
      <w:bookmarkStart w:id="1303" w:name="_Toc341348338"/>
      <w:bookmarkStart w:id="1304" w:name="_Toc345513867"/>
      <w:bookmarkStart w:id="1305" w:name="_Toc340507442"/>
      <w:bookmarkStart w:id="1306" w:name="_Toc333935687"/>
      <w:bookmarkStart w:id="1307" w:name="_Toc331684038"/>
      <w:bookmarkStart w:id="1308" w:name="_Toc332206708"/>
      <w:bookmarkStart w:id="1309" w:name="_Toc333935346"/>
      <w:bookmarkStart w:id="1310" w:name="_Toc374454600"/>
      <w:bookmarkStart w:id="1311" w:name="_Toc339019889"/>
      <w:r>
        <w:rPr>
          <w:rFonts w:hint="eastAsia"/>
          <w:color w:val="000000" w:themeColor="text1"/>
          <w:highlight w:val="none"/>
          <w14:textFill>
            <w14:solidFill>
              <w14:schemeClr w14:val="tx1"/>
            </w14:solidFill>
          </w14:textFill>
        </w:rPr>
        <w:t>评标标准和办法</w:t>
      </w:r>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p>
    <w:p>
      <w:pPr>
        <w:pStyle w:val="24"/>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312" w:name="_Toc497707712"/>
      <w:bookmarkStart w:id="1313" w:name="_Toc500953375"/>
      <w:bookmarkStart w:id="1314" w:name="_Toc500861023"/>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315" w:name="_Toc327368025"/>
      <w:bookmarkStart w:id="1316" w:name="_Toc6080"/>
      <w:bookmarkStart w:id="1317" w:name="_Toc327367761"/>
      <w:bookmarkStart w:id="1318" w:name="_Toc366072529"/>
      <w:bookmarkStart w:id="1319" w:name="_Toc331684039"/>
      <w:bookmarkStart w:id="1320" w:name="_Toc339362301"/>
      <w:bookmarkStart w:id="1321" w:name="_Toc345513902"/>
      <w:bookmarkStart w:id="1322" w:name="_Toc342296761"/>
      <w:bookmarkStart w:id="1323" w:name="_Toc332270347"/>
      <w:bookmarkStart w:id="1324" w:name="_Toc339020016"/>
      <w:bookmarkStart w:id="1325" w:name="_Toc341348339"/>
      <w:bookmarkStart w:id="1326" w:name="_Toc337632359"/>
      <w:bookmarkStart w:id="1327" w:name="_Toc336681581"/>
      <w:bookmarkStart w:id="1328" w:name="_Toc339020096"/>
      <w:bookmarkStart w:id="1329" w:name="_Toc332206709"/>
      <w:bookmarkStart w:id="1330" w:name="_Toc340677071"/>
      <w:bookmarkStart w:id="1331" w:name="_Toc330459986"/>
      <w:bookmarkStart w:id="1332" w:name="_Toc339019890"/>
      <w:bookmarkStart w:id="1333" w:name="_Toc339441088"/>
      <w:bookmarkStart w:id="1334" w:name="_Toc333237678"/>
      <w:bookmarkStart w:id="1335" w:name="_Toc339020234"/>
      <w:bookmarkStart w:id="1336" w:name="_Toc336681936"/>
      <w:bookmarkStart w:id="1337" w:name="_Toc340672870"/>
      <w:bookmarkStart w:id="1338" w:name="_Toc340507443"/>
      <w:bookmarkStart w:id="1339" w:name="_Toc333238634"/>
      <w:bookmarkStart w:id="1340" w:name="_Toc333237789"/>
      <w:bookmarkStart w:id="1341" w:name="_Toc333935688"/>
      <w:bookmarkStart w:id="1342" w:name="_Toc333935347"/>
      <w:bookmarkStart w:id="1343" w:name="_Toc342060375"/>
      <w:bookmarkStart w:id="1344" w:name="_Toc331512899"/>
      <w:r>
        <w:rPr>
          <w:rFonts w:hint="eastAsia"/>
          <w:color w:val="000000" w:themeColor="text1"/>
          <w:highlight w:val="none"/>
          <w14:textFill>
            <w14:solidFill>
              <w14:schemeClr w14:val="tx1"/>
            </w14:solidFill>
          </w14:textFill>
        </w:rPr>
        <w:t>评标注意事项</w:t>
      </w:r>
      <w:bookmarkEnd w:id="1315"/>
      <w:bookmarkEnd w:id="1316"/>
      <w:bookmarkEnd w:id="1317"/>
      <w:bookmarkEnd w:id="1318"/>
    </w:p>
    <w:bookmarkEnd w:id="35"/>
    <w:bookmarkEnd w:id="1312"/>
    <w:bookmarkEnd w:id="1313"/>
    <w:bookmarkEnd w:id="1314"/>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45" w:name="_Toc491658680"/>
      <w:bookmarkStart w:id="1346" w:name="_Toc6397151"/>
      <w:bookmarkStart w:id="1347" w:name="_Toc6727972"/>
      <w:bookmarkStart w:id="1348" w:name="_Toc500861027"/>
      <w:bookmarkStart w:id="1349" w:name="_Toc26066260"/>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350" w:name="_Toc333238635"/>
      <w:bookmarkStart w:id="1351" w:name="_Toc350756452"/>
      <w:bookmarkStart w:id="1352" w:name="_Toc332206710"/>
      <w:bookmarkStart w:id="1353" w:name="_Toc340677072"/>
      <w:bookmarkStart w:id="1354" w:name="_Toc374454602"/>
      <w:bookmarkStart w:id="1355" w:name="_Toc333237679"/>
      <w:bookmarkStart w:id="1356" w:name="_Toc341348340"/>
      <w:bookmarkStart w:id="1357" w:name="_Toc336681582"/>
      <w:bookmarkStart w:id="1358" w:name="_Toc345513903"/>
      <w:bookmarkStart w:id="1359" w:name="_Toc365985180"/>
      <w:bookmarkStart w:id="1360" w:name="_Toc331684040"/>
      <w:bookmarkStart w:id="1361" w:name="_Toc340672871"/>
      <w:bookmarkStart w:id="1362" w:name="_Toc339020097"/>
      <w:bookmarkStart w:id="1363" w:name="_Toc333935348"/>
      <w:bookmarkStart w:id="1364" w:name="_Toc339020017"/>
      <w:bookmarkStart w:id="1365" w:name="_Toc330459987"/>
      <w:bookmarkStart w:id="1366" w:name="_Toc349127628"/>
      <w:bookmarkStart w:id="1367" w:name="_Toc332270348"/>
      <w:bookmarkStart w:id="1368" w:name="_Toc349143591"/>
      <w:bookmarkStart w:id="1369" w:name="_Toc342296762"/>
      <w:bookmarkStart w:id="1370" w:name="_Toc342060376"/>
      <w:bookmarkStart w:id="1371" w:name="_Toc339020235"/>
      <w:bookmarkStart w:id="1372" w:name="_Toc339441089"/>
      <w:bookmarkStart w:id="1373" w:name="_Toc333935689"/>
      <w:bookmarkStart w:id="1374" w:name="_Toc339362302"/>
      <w:bookmarkStart w:id="1375" w:name="_Toc339019891"/>
      <w:bookmarkStart w:id="1376" w:name="_Toc333237790"/>
      <w:bookmarkStart w:id="1377" w:name="_Toc365967074"/>
      <w:bookmarkStart w:id="1378" w:name="_Toc336681937"/>
      <w:bookmarkStart w:id="1379" w:name="_Toc366072530"/>
      <w:bookmarkStart w:id="1380" w:name="_Toc9324"/>
      <w:bookmarkStart w:id="1381" w:name="_Toc337632360"/>
      <w:bookmarkStart w:id="1382" w:name="_Toc331512900"/>
      <w:bookmarkStart w:id="1383" w:name="_Toc340507444"/>
      <w:bookmarkStart w:id="1384" w:name="_Toc350438751"/>
      <w:r>
        <w:rPr>
          <w:rFonts w:hint="eastAsia"/>
          <w:color w:val="000000" w:themeColor="text1"/>
          <w:highlight w:val="none"/>
          <w14:textFill>
            <w14:solidFill>
              <w14:schemeClr w14:val="tx1"/>
            </w14:solidFill>
          </w14:textFill>
        </w:rPr>
        <w:t>接受和拒绝投标的权利</w:t>
      </w:r>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385" w:name="_Toc374454603"/>
      <w:bookmarkStart w:id="1386" w:name="_Toc366072531"/>
      <w:bookmarkStart w:id="1387" w:name="_Toc30538"/>
      <w:r>
        <w:rPr>
          <w:rFonts w:hint="eastAsia"/>
          <w:color w:val="000000" w:themeColor="text1"/>
          <w:highlight w:val="none"/>
          <w14:textFill>
            <w14:solidFill>
              <w14:schemeClr w14:val="tx1"/>
            </w14:solidFill>
          </w14:textFill>
        </w:rPr>
        <w:t>发布中标结果公告和发放中标通知书</w:t>
      </w:r>
      <w:bookmarkEnd w:id="1385"/>
      <w:bookmarkEnd w:id="1386"/>
      <w:bookmarkEnd w:id="138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88"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w:t>
      </w:r>
      <w:bookmarkStart w:id="1389" w:name="_Hlk499218799"/>
      <w:r>
        <w:rPr>
          <w:rFonts w:hint="eastAsia" w:ascii="宋体" w:hAnsi="宋体"/>
          <w:color w:val="000000" w:themeColor="text1"/>
          <w:szCs w:val="21"/>
          <w:highlight w:val="none"/>
          <w14:textFill>
            <w14:solidFill>
              <w14:schemeClr w14:val="tx1"/>
            </w14:solidFill>
          </w14:textFill>
        </w:rPr>
        <w:t>将于指定媒体上公告</w:t>
      </w:r>
      <w:bookmarkEnd w:id="1389"/>
      <w:r>
        <w:rPr>
          <w:rFonts w:hint="eastAsia" w:ascii="宋体" w:hAnsi="宋体"/>
          <w:color w:val="000000" w:themeColor="text1"/>
          <w:szCs w:val="21"/>
          <w:highlight w:val="none"/>
          <w14:textFill>
            <w14:solidFill>
              <w14:schemeClr w14:val="tx1"/>
            </w14:solidFill>
          </w14:textFill>
        </w:rPr>
        <w:t>(</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390" w:name="_Toc7166"/>
      <w:bookmarkStart w:id="1391" w:name="_Toc374454604"/>
      <w:r>
        <w:rPr>
          <w:rFonts w:hint="eastAsia"/>
          <w:color w:val="000000" w:themeColor="text1"/>
          <w:highlight w:val="none"/>
          <w14:textFill>
            <w14:solidFill>
              <w14:schemeClr w14:val="tx1"/>
            </w14:solidFill>
          </w14:textFill>
        </w:rPr>
        <w:t>投标人对中标结果的质疑、投诉</w:t>
      </w:r>
      <w:bookmarkEnd w:id="1388"/>
      <w:bookmarkEnd w:id="1390"/>
      <w:bookmarkEnd w:id="1391"/>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92" w:name="_Toc331684043"/>
      <w:bookmarkStart w:id="1393" w:name="_Toc333237793"/>
      <w:bookmarkStart w:id="1394" w:name="_Toc350438754"/>
      <w:bookmarkStart w:id="1395" w:name="_Toc331512903"/>
      <w:bookmarkStart w:id="1396" w:name="_Toc342296765"/>
      <w:bookmarkStart w:id="1397" w:name="_Toc349143594"/>
      <w:bookmarkStart w:id="1398" w:name="_Toc339019894"/>
      <w:bookmarkStart w:id="1399" w:name="_Toc332206713"/>
      <w:bookmarkStart w:id="1400" w:name="_Toc336681940"/>
      <w:bookmarkStart w:id="1401" w:name="_Toc340677075"/>
      <w:bookmarkStart w:id="1402" w:name="_Toc339020238"/>
      <w:bookmarkStart w:id="1403" w:name="_Toc349127631"/>
      <w:bookmarkStart w:id="1404" w:name="_Toc339441092"/>
      <w:bookmarkStart w:id="1405" w:name="_Toc365985183"/>
      <w:bookmarkStart w:id="1406" w:name="_Toc336681585"/>
      <w:bookmarkStart w:id="1407" w:name="_Toc340507447"/>
      <w:bookmarkStart w:id="1408" w:name="_Toc341348343"/>
      <w:bookmarkStart w:id="1409" w:name="_Toc339020020"/>
      <w:bookmarkStart w:id="1410" w:name="_Toc340672874"/>
      <w:bookmarkStart w:id="1411" w:name="_Toc342060379"/>
      <w:bookmarkStart w:id="1412" w:name="_Toc332270351"/>
      <w:bookmarkStart w:id="1413" w:name="_Toc339362305"/>
      <w:bookmarkStart w:id="1414" w:name="_Toc333238638"/>
      <w:bookmarkStart w:id="1415" w:name="_Toc337632363"/>
      <w:bookmarkStart w:id="1416" w:name="_Toc350756455"/>
      <w:bookmarkStart w:id="1417" w:name="_Toc345513906"/>
      <w:bookmarkStart w:id="1418" w:name="_Toc333935351"/>
      <w:bookmarkStart w:id="1419" w:name="_Toc330459990"/>
      <w:bookmarkStart w:id="1420" w:name="_Toc339020100"/>
      <w:bookmarkStart w:id="1421" w:name="_Toc365967077"/>
      <w:bookmarkStart w:id="1422" w:name="_Toc333237682"/>
      <w:bookmarkStart w:id="1423" w:name="_Toc333935692"/>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3"/>
        <w:numPr>
          <w:ilvl w:val="0"/>
          <w:numId w:val="0"/>
        </w:numPr>
        <w:rPr>
          <w:color w:val="000000" w:themeColor="text1"/>
          <w:sz w:val="24"/>
          <w:highlight w:val="none"/>
          <w14:textFill>
            <w14:solidFill>
              <w14:schemeClr w14:val="tx1"/>
            </w14:solidFill>
          </w14:textFill>
        </w:rPr>
      </w:pPr>
      <w:bookmarkStart w:id="1424" w:name="_Toc366072533"/>
      <w:bookmarkStart w:id="1425" w:name="_Toc374454605"/>
      <w:r>
        <w:rPr>
          <w:color w:val="000000" w:themeColor="text1"/>
          <w:sz w:val="24"/>
          <w:highlight w:val="none"/>
          <w14:textFill>
            <w14:solidFill>
              <w14:schemeClr w14:val="tx1"/>
            </w14:solidFill>
          </w14:textFill>
        </w:rPr>
        <w:br w:type="page"/>
      </w:r>
      <w:bookmarkStart w:id="1426" w:name="_Toc32301"/>
      <w:r>
        <w:rPr>
          <w:rFonts w:hint="eastAsia"/>
          <w:color w:val="000000" w:themeColor="text1"/>
          <w:sz w:val="24"/>
          <w:highlight w:val="none"/>
          <w14:textFill>
            <w14:solidFill>
              <w14:schemeClr w14:val="tx1"/>
            </w14:solidFill>
          </w14:textFill>
        </w:rPr>
        <w:t>Ｆ  授予合同</w:t>
      </w:r>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p>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427" w:name="_Toc339020101"/>
      <w:bookmarkStart w:id="1428" w:name="_Toc332206714"/>
      <w:bookmarkStart w:id="1429" w:name="_Toc345513907"/>
      <w:bookmarkStart w:id="1430" w:name="_Toc333935693"/>
      <w:bookmarkStart w:id="1431" w:name="_Toc339019895"/>
      <w:bookmarkStart w:id="1432" w:name="_Toc350756456"/>
      <w:bookmarkStart w:id="1433" w:name="_Toc480020276"/>
      <w:bookmarkStart w:id="1434" w:name="_Toc480010727"/>
      <w:bookmarkStart w:id="1435" w:name="_Toc339020021"/>
      <w:bookmarkStart w:id="1436" w:name="_Toc366072534"/>
      <w:bookmarkStart w:id="1437" w:name="_Toc333237794"/>
      <w:bookmarkStart w:id="1438" w:name="_Toc468606048"/>
      <w:bookmarkStart w:id="1439" w:name="_Toc331512904"/>
      <w:bookmarkStart w:id="1440" w:name="_Toc349143595"/>
      <w:bookmarkStart w:id="1441" w:name="_Toc480021072"/>
      <w:bookmarkStart w:id="1442" w:name="_Toc349127632"/>
      <w:bookmarkStart w:id="1443" w:name="_Toc336681586"/>
      <w:bookmarkStart w:id="1444" w:name="_Toc340677076"/>
      <w:bookmarkStart w:id="1445" w:name="_Toc339362306"/>
      <w:bookmarkStart w:id="1446" w:name="_Toc467987842"/>
      <w:bookmarkStart w:id="1447" w:name="_Toc339020239"/>
      <w:bookmarkStart w:id="1448" w:name="_Toc339441093"/>
      <w:bookmarkStart w:id="1449" w:name="_Toc331684044"/>
      <w:bookmarkStart w:id="1450" w:name="_Toc468157555"/>
      <w:bookmarkStart w:id="1451" w:name="_Toc374454606"/>
      <w:bookmarkStart w:id="1452" w:name="_Toc342296766"/>
      <w:bookmarkStart w:id="1453" w:name="_Toc365967078"/>
      <w:bookmarkStart w:id="1454" w:name="_Toc491658670"/>
      <w:bookmarkStart w:id="1455" w:name="_Toc330459991"/>
      <w:bookmarkStart w:id="1456" w:name="_Toc350438755"/>
      <w:bookmarkStart w:id="1457" w:name="_Toc365985184"/>
      <w:bookmarkStart w:id="1458" w:name="_Toc341348344"/>
      <w:bookmarkStart w:id="1459" w:name="_Toc340672875"/>
      <w:bookmarkStart w:id="1460" w:name="_Toc332270352"/>
      <w:bookmarkStart w:id="1461" w:name="_Toc336681941"/>
      <w:bookmarkStart w:id="1462" w:name="_Toc479991601"/>
      <w:bookmarkStart w:id="1463" w:name="_Toc342060380"/>
      <w:bookmarkStart w:id="1464" w:name="_Toc333237683"/>
      <w:bookmarkStart w:id="1465" w:name="_Toc11822"/>
      <w:bookmarkStart w:id="1466" w:name="_Toc333935352"/>
      <w:bookmarkStart w:id="1467" w:name="_Toc467236759"/>
      <w:bookmarkStart w:id="1468" w:name="_Toc333238639"/>
      <w:bookmarkStart w:id="1469" w:name="_Toc337632364"/>
      <w:bookmarkStart w:id="1470" w:name="_Toc500861016"/>
      <w:bookmarkStart w:id="1471" w:name="_Toc340507448"/>
      <w:bookmarkStart w:id="1472" w:name="_Toc458262633"/>
      <w:bookmarkStart w:id="1473" w:name="_Toc454701400"/>
      <w:r>
        <w:rPr>
          <w:rFonts w:hint="eastAsia"/>
          <w:color w:val="000000" w:themeColor="text1"/>
          <w:highlight w:val="none"/>
          <w14:textFill>
            <w14:solidFill>
              <w14:schemeClr w14:val="tx1"/>
            </w14:solidFill>
          </w14:textFill>
        </w:rPr>
        <w:t>合同授予标准</w:t>
      </w:r>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按第30条规定，采购人将把合同授予此次招标的中标投标人。</w:t>
      </w:r>
    </w:p>
    <w:bookmarkEnd w:id="1472"/>
    <w:bookmarkEnd w:id="1473"/>
    <w:p>
      <w:pPr>
        <w:pStyle w:val="5"/>
        <w:numPr>
          <w:ilvl w:val="4"/>
          <w:numId w:val="35"/>
        </w:numPr>
        <w:tabs>
          <w:tab w:val="left" w:pos="720"/>
        </w:tabs>
        <w:spacing w:before="240" w:after="120"/>
        <w:ind w:left="2432" w:hanging="2432"/>
        <w:rPr>
          <w:color w:val="000000" w:themeColor="text1"/>
          <w:highlight w:val="none"/>
          <w14:textFill>
            <w14:solidFill>
              <w14:schemeClr w14:val="tx1"/>
            </w14:solidFill>
          </w14:textFill>
        </w:rPr>
      </w:pPr>
      <w:bookmarkStart w:id="1474" w:name="_Toc340507449"/>
      <w:bookmarkStart w:id="1475" w:name="_Toc339362307"/>
      <w:bookmarkStart w:id="1476" w:name="_Toc333935694"/>
      <w:bookmarkStart w:id="1477" w:name="_Toc500861020"/>
      <w:bookmarkStart w:id="1478" w:name="_Toc454701402"/>
      <w:bookmarkStart w:id="1479" w:name="_Toc331684045"/>
      <w:bookmarkStart w:id="1480" w:name="_Toc339020022"/>
      <w:bookmarkStart w:id="1481" w:name="_Toc365967079"/>
      <w:bookmarkStart w:id="1482" w:name="_Toc479991605"/>
      <w:bookmarkStart w:id="1483" w:name="_Toc340677077"/>
      <w:bookmarkStart w:id="1484" w:name="_Toc350438756"/>
      <w:bookmarkStart w:id="1485" w:name="_Toc468606052"/>
      <w:bookmarkStart w:id="1486" w:name="_Toc468157559"/>
      <w:bookmarkStart w:id="1487" w:name="_Toc480010731"/>
      <w:bookmarkStart w:id="1488" w:name="_Toc339441094"/>
      <w:bookmarkStart w:id="1489" w:name="_Toc337632365"/>
      <w:bookmarkStart w:id="1490" w:name="_Toc467236763"/>
      <w:bookmarkStart w:id="1491" w:name="_Toc336681942"/>
      <w:bookmarkStart w:id="1492" w:name="_Toc339020102"/>
      <w:bookmarkStart w:id="1493" w:name="_Toc333935353"/>
      <w:bookmarkStart w:id="1494" w:name="_Toc340672876"/>
      <w:bookmarkStart w:id="1495" w:name="_Toc339020240"/>
      <w:bookmarkStart w:id="1496" w:name="_Toc333238640"/>
      <w:bookmarkStart w:id="1497" w:name="_Toc333237795"/>
      <w:bookmarkStart w:id="1498" w:name="_Toc365985185"/>
      <w:bookmarkStart w:id="1499" w:name="_Toc331512905"/>
      <w:bookmarkStart w:id="1500" w:name="_Toc333237684"/>
      <w:bookmarkStart w:id="1501" w:name="_Toc332206715"/>
      <w:bookmarkStart w:id="1502" w:name="_Toc345513908"/>
      <w:bookmarkStart w:id="1503" w:name="_Toc342060381"/>
      <w:bookmarkStart w:id="1504" w:name="_Toc467987846"/>
      <w:bookmarkStart w:id="1505" w:name="_Toc332270353"/>
      <w:bookmarkStart w:id="1506" w:name="_Toc341348345"/>
      <w:bookmarkStart w:id="1507" w:name="_Toc491658674"/>
      <w:bookmarkStart w:id="1508" w:name="_Toc349127633"/>
      <w:bookmarkStart w:id="1509" w:name="_Toc366072535"/>
      <w:bookmarkStart w:id="1510" w:name="_Toc330459992"/>
      <w:bookmarkStart w:id="1511" w:name="_Toc374454607"/>
      <w:bookmarkStart w:id="1512" w:name="_Toc1070"/>
      <w:bookmarkStart w:id="1513" w:name="_Toc480020280"/>
      <w:bookmarkStart w:id="1514" w:name="_Toc350756457"/>
      <w:bookmarkStart w:id="1515" w:name="_Toc342296767"/>
      <w:bookmarkStart w:id="1516" w:name="_Toc339019896"/>
      <w:bookmarkStart w:id="1517" w:name="_Toc336681587"/>
      <w:bookmarkStart w:id="1518" w:name="_Toc349143596"/>
      <w:bookmarkStart w:id="1519" w:name="_Toc480021076"/>
      <w:bookmarkStart w:id="1520" w:name="_Toc458262635"/>
      <w:r>
        <w:rPr>
          <w:rFonts w:hint="eastAsia"/>
          <w:color w:val="000000" w:themeColor="text1"/>
          <w:highlight w:val="none"/>
          <w14:textFill>
            <w14:solidFill>
              <w14:schemeClr w14:val="tx1"/>
            </w14:solidFill>
          </w14:textFill>
        </w:rPr>
        <w:t>签订合同</w:t>
      </w:r>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21" w:name="_Toc377129068"/>
      <w:bookmarkStart w:id="1522" w:name="_Toc374454608"/>
      <w:bookmarkStart w:id="1523" w:name="_Toc372209289"/>
      <w:bookmarkStart w:id="1524" w:name="_Toc367095382"/>
      <w:bookmarkStart w:id="1525" w:name="_Toc370309169"/>
      <w:bookmarkStart w:id="1526" w:name="_Toc378261823"/>
      <w:bookmarkStart w:id="1527" w:name="_Toc373401413"/>
      <w:bookmarkStart w:id="1528" w:name="_Toc379896705"/>
      <w:bookmarkStart w:id="1529" w:name="_Toc366681897"/>
      <w:bookmarkStart w:id="1530" w:name="_Toc370983962"/>
      <w:bookmarkStart w:id="1531" w:name="_Toc369700990"/>
      <w:bookmarkStart w:id="1532" w:name="_Toc366072536"/>
      <w:bookmarkStart w:id="1533" w:name="_Toc383069738"/>
      <w:bookmarkStart w:id="1534" w:name="_Toc374093632"/>
      <w:bookmarkStart w:id="1535" w:name="_Toc339020241"/>
      <w:bookmarkStart w:id="1536" w:name="_Toc331512906"/>
      <w:bookmarkStart w:id="1537" w:name="_Toc350438757"/>
      <w:bookmarkStart w:id="1538" w:name="_Toc350756458"/>
      <w:bookmarkStart w:id="1539" w:name="_Toc333237685"/>
      <w:bookmarkStart w:id="1540" w:name="_Toc340507450"/>
      <w:bookmarkStart w:id="1541" w:name="_Toc339019897"/>
      <w:bookmarkStart w:id="1542" w:name="_Toc336681588"/>
      <w:bookmarkStart w:id="1543" w:name="_Toc339362308"/>
      <w:bookmarkStart w:id="1544" w:name="_Toc333237796"/>
      <w:bookmarkStart w:id="1545" w:name="_Toc332270354"/>
      <w:bookmarkStart w:id="1546" w:name="_Toc339441095"/>
      <w:bookmarkStart w:id="1547" w:name="_Toc331684046"/>
      <w:bookmarkStart w:id="1548" w:name="_Toc330459993"/>
      <w:bookmarkStart w:id="1549" w:name="_Toc339020103"/>
      <w:bookmarkStart w:id="1550" w:name="_Toc333935695"/>
      <w:bookmarkStart w:id="1551" w:name="_Toc340677078"/>
      <w:bookmarkStart w:id="1552" w:name="_Toc339020023"/>
      <w:bookmarkStart w:id="1553" w:name="_Toc365985186"/>
      <w:bookmarkStart w:id="1554" w:name="_Toc337632366"/>
      <w:bookmarkStart w:id="1555" w:name="_Toc333238641"/>
      <w:bookmarkStart w:id="1556" w:name="_Toc342060382"/>
      <w:bookmarkStart w:id="1557" w:name="_Toc349127634"/>
      <w:bookmarkStart w:id="1558" w:name="_Toc336681943"/>
      <w:bookmarkStart w:id="1559" w:name="_Toc342296768"/>
      <w:bookmarkStart w:id="1560" w:name="_Toc340672877"/>
      <w:bookmarkStart w:id="1561" w:name="_Toc345513909"/>
      <w:bookmarkStart w:id="1562" w:name="_Toc365967080"/>
      <w:bookmarkStart w:id="1563" w:name="_Toc341348346"/>
      <w:bookmarkStart w:id="1564" w:name="_Toc332206716"/>
      <w:bookmarkStart w:id="1565" w:name="_Toc349143597"/>
      <w:bookmarkStart w:id="1566" w:name="_Toc333935354"/>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p>
      <w:pPr>
        <w:pStyle w:val="3"/>
        <w:numPr>
          <w:ilvl w:val="0"/>
          <w:numId w:val="0"/>
        </w:numPr>
        <w:rPr>
          <w:color w:val="000000" w:themeColor="text1"/>
          <w:sz w:val="24"/>
          <w:highlight w:val="none"/>
          <w14:textFill>
            <w14:solidFill>
              <w14:schemeClr w14:val="tx1"/>
            </w14:solidFill>
          </w14:textFill>
        </w:rPr>
      </w:pPr>
      <w:bookmarkStart w:id="1567" w:name="_Toc21266"/>
      <w:bookmarkStart w:id="1568" w:name="_Toc432682726"/>
      <w:bookmarkStart w:id="1569" w:name="_Toc430771059"/>
      <w:bookmarkStart w:id="1570" w:name="_Toc468606055"/>
      <w:bookmarkStart w:id="1571" w:name="_Toc480010734"/>
      <w:bookmarkStart w:id="1572" w:name="_Toc467236766"/>
      <w:bookmarkStart w:id="1573" w:name="_Toc480020283"/>
      <w:bookmarkStart w:id="1574" w:name="_Toc500861024"/>
      <w:bookmarkStart w:id="1575" w:name="_Toc479991608"/>
      <w:bookmarkStart w:id="1576" w:name="_Toc468157562"/>
      <w:bookmarkStart w:id="1577" w:name="_Toc467987849"/>
      <w:bookmarkStart w:id="1578" w:name="_Toc480021079"/>
      <w:bookmarkStart w:id="1579" w:name="_Toc491658677"/>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67"/>
      <w:bookmarkEnd w:id="1568"/>
      <w:bookmarkEnd w:id="1569"/>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80" w:name="_Toc430185803"/>
      <w:bookmarkStart w:id="1581" w:name="_Toc430771060"/>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82"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80"/>
      <w:bookmarkEnd w:id="1581"/>
      <w:bookmarkEnd w:id="158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83" w:name="_Toc430185804"/>
      <w:bookmarkStart w:id="1584" w:name="_Toc430771061"/>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83"/>
      <w:bookmarkEnd w:id="1584"/>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85" w:name="_Toc430771062"/>
      <w:bookmarkStart w:id="1586" w:name="_Toc430185805"/>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85"/>
      <w:bookmarkEnd w:id="1586"/>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87" w:name="_Toc430771063"/>
      <w:bookmarkStart w:id="1588"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87"/>
      <w:bookmarkEnd w:id="1588"/>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hint="eastAsia"/>
          <w:color w:val="000000" w:themeColor="text1"/>
          <w:sz w:val="24"/>
          <w:highlight w:val="none"/>
          <w14:textFill>
            <w14:solidFill>
              <w14:schemeClr w14:val="tx1"/>
            </w14:solidFill>
          </w14:textFill>
        </w:rPr>
      </w:pPr>
      <w:bookmarkStart w:id="1589" w:name="_Toc10986"/>
      <w:r>
        <w:rPr>
          <w:rFonts w:hint="eastAsia"/>
          <w:color w:val="000000" w:themeColor="text1"/>
          <w:sz w:val="24"/>
          <w:highlight w:val="none"/>
          <w14:textFill>
            <w14:solidFill>
              <w14:schemeClr w14:val="tx1"/>
            </w14:solidFill>
          </w14:textFill>
        </w:rPr>
        <w:br w:type="page"/>
      </w:r>
    </w:p>
    <w:p>
      <w:pPr>
        <w:pStyle w:val="3"/>
        <w:numPr>
          <w:ilvl w:val="0"/>
          <w:numId w:val="0"/>
        </w:numP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H、评标细则</w:t>
      </w:r>
      <w:bookmarkEnd w:id="1589"/>
    </w:p>
    <w:p>
      <w:pPr>
        <w:pStyle w:val="24"/>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7"/>
        <w:widowControl/>
        <w:numPr>
          <w:ilvl w:val="0"/>
          <w:numId w:val="4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7"/>
        <w:widowControl/>
        <w:numPr>
          <w:ilvl w:val="0"/>
          <w:numId w:val="4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7"/>
        <w:widowControl/>
        <w:numPr>
          <w:ilvl w:val="0"/>
          <w:numId w:val="4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7"/>
        <w:widowControl/>
        <w:numPr>
          <w:ilvl w:val="0"/>
          <w:numId w:val="4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7"/>
        <w:widowControl/>
        <w:numPr>
          <w:ilvl w:val="0"/>
          <w:numId w:val="4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7"/>
        <w:widowControl/>
        <w:numPr>
          <w:ilvl w:val="0"/>
          <w:numId w:val="4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7"/>
        <w:tblW w:w="8921" w:type="dxa"/>
        <w:jc w:val="center"/>
        <w:tblLayout w:type="fixed"/>
        <w:tblCellMar>
          <w:top w:w="0" w:type="dxa"/>
          <w:left w:w="0" w:type="dxa"/>
          <w:bottom w:w="0" w:type="dxa"/>
          <w:right w:w="0" w:type="dxa"/>
        </w:tblCellMar>
      </w:tblPr>
      <w:tblGrid>
        <w:gridCol w:w="2570"/>
        <w:gridCol w:w="2648"/>
        <w:gridCol w:w="175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lang w:val="en-US" w:eastAsia="zh-CN"/>
                <w14:textFill>
                  <w14:solidFill>
                    <w14:schemeClr w14:val="tx1"/>
                  </w14:solidFill>
                </w14:textFill>
              </w:rPr>
              <w:t>50</w:t>
            </w:r>
            <w:r>
              <w:rPr>
                <w:rFonts w:ascii="宋体" w:hAnsi="宋体"/>
                <w:color w:val="000000" w:themeColor="text1"/>
                <w:kern w:val="0"/>
                <w:sz w:val="24"/>
                <w:highlight w:val="none"/>
                <w14:textFill>
                  <w14:solidFill>
                    <w14:schemeClr w14:val="tx1"/>
                  </w14:solidFill>
                </w14:textFill>
              </w:rPr>
              <w:t>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rFonts w:hint="eastAsia"/>
                <w:color w:val="000000" w:themeColor="text1"/>
                <w:kern w:val="0"/>
                <w:sz w:val="24"/>
                <w:highlight w:val="none"/>
                <w:lang w:val="en-US" w:eastAsia="zh-CN"/>
                <w14:textFill>
                  <w14:solidFill>
                    <w14:schemeClr w14:val="tx1"/>
                  </w14:solidFill>
                </w14:textFill>
              </w:rPr>
              <w:t>20</w:t>
            </w:r>
            <w:r>
              <w:rPr>
                <w:color w:val="000000" w:themeColor="text1"/>
                <w:kern w:val="0"/>
                <w:sz w:val="24"/>
                <w:highlight w:val="none"/>
                <w14:textFill>
                  <w14:solidFill>
                    <w14:schemeClr w14:val="tx1"/>
                  </w14:solidFill>
                </w14:textFill>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rFonts w:hint="eastAsia"/>
                <w:color w:val="000000" w:themeColor="text1"/>
                <w:kern w:val="0"/>
                <w:sz w:val="24"/>
                <w:highlight w:val="none"/>
                <w:lang w:val="en-US" w:eastAsia="zh-CN"/>
                <w14:textFill>
                  <w14:solidFill>
                    <w14:schemeClr w14:val="tx1"/>
                  </w14:solidFill>
                </w14:textFill>
              </w:rPr>
              <w:t>30</w:t>
            </w:r>
            <w:r>
              <w:rPr>
                <w:color w:val="000000" w:themeColor="text1"/>
                <w:kern w:val="0"/>
                <w:sz w:val="24"/>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技术评分细则：</w:t>
      </w:r>
    </w:p>
    <w:tbl>
      <w:tblPr>
        <w:tblStyle w:val="47"/>
        <w:tblW w:w="9690" w:type="dxa"/>
        <w:tblInd w:w="-34" w:type="dxa"/>
        <w:shd w:val="clear" w:color="auto" w:fill="FFFFFF"/>
        <w:tblLayout w:type="fixed"/>
        <w:tblCellMar>
          <w:top w:w="0" w:type="dxa"/>
          <w:left w:w="0" w:type="dxa"/>
          <w:bottom w:w="0" w:type="dxa"/>
          <w:right w:w="0" w:type="dxa"/>
        </w:tblCellMar>
      </w:tblPr>
      <w:tblGrid>
        <w:gridCol w:w="725"/>
        <w:gridCol w:w="1362"/>
        <w:gridCol w:w="710"/>
        <w:gridCol w:w="6893"/>
      </w:tblGrid>
      <w:tr>
        <w:tblPrEx>
          <w:tblCellMar>
            <w:top w:w="0" w:type="dxa"/>
            <w:left w:w="0" w:type="dxa"/>
            <w:bottom w:w="0" w:type="dxa"/>
            <w:right w:w="0" w:type="dxa"/>
          </w:tblCellMar>
        </w:tblPrEx>
        <w:trPr>
          <w:cantSplit/>
          <w:trHeight w:val="460" w:hRule="atLeast"/>
          <w:tblHeader/>
        </w:trPr>
        <w:tc>
          <w:tcPr>
            <w:tcW w:w="7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36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评审内容</w:t>
            </w:r>
          </w:p>
        </w:tc>
        <w:tc>
          <w:tcPr>
            <w:tcW w:w="7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89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评审标准</w:t>
            </w:r>
          </w:p>
        </w:tc>
      </w:tr>
      <w:tr>
        <w:tblPrEx>
          <w:shd w:val="clear" w:color="auto" w:fill="FFFFFF"/>
          <w:tblCellMar>
            <w:top w:w="0" w:type="dxa"/>
            <w:left w:w="0" w:type="dxa"/>
            <w:bottom w:w="0" w:type="dxa"/>
            <w:right w:w="0" w:type="dxa"/>
          </w:tblCellMar>
        </w:tblPrEx>
        <w:trPr>
          <w:cantSplit/>
          <w:trHeight w:val="1149" w:hRule="atLeast"/>
        </w:trPr>
        <w:tc>
          <w:tcPr>
            <w:tcW w:w="7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36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技术参数响应情况</w:t>
            </w:r>
          </w:p>
        </w:tc>
        <w:tc>
          <w:tcPr>
            <w:tcW w:w="7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89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根据投标人提交的投标文件对应招标文件的技术要求等响应情况进行评分：</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br w:type="textWrapping"/>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技术要求中带“▲”的为重要技术参数，未响应或不满足，每条扣</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分；</w:t>
            </w:r>
          </w:p>
          <w:p>
            <w:pPr>
              <w:keepNext w:val="0"/>
              <w:keepLines w:val="0"/>
              <w:widowControl/>
              <w:suppressLineNumbers w:val="0"/>
              <w:spacing w:line="240" w:lineRule="auto"/>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技术要求中非“▲”的技术指标参数，未响应或不满足，每条扣0.5分</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扣完为止。 </w:t>
            </w:r>
          </w:p>
          <w:p>
            <w:pPr>
              <w:keepNext w:val="0"/>
              <w:keepLines w:val="0"/>
              <w:widowControl/>
              <w:suppressLineNumbers w:val="0"/>
              <w:spacing w:line="240" w:lineRule="auto"/>
              <w:jc w:val="both"/>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注：</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投标人必须按货物的实际参数进行响应，否则视为提供虚假材料谋取中标处理。</w:t>
            </w:r>
          </w:p>
        </w:tc>
      </w:tr>
      <w:tr>
        <w:tblPrEx>
          <w:shd w:val="clear" w:color="auto" w:fill="FFFFFF"/>
          <w:tblCellMar>
            <w:top w:w="0" w:type="dxa"/>
            <w:left w:w="0" w:type="dxa"/>
            <w:bottom w:w="0" w:type="dxa"/>
            <w:right w:w="0" w:type="dxa"/>
          </w:tblCellMar>
        </w:tblPrEx>
        <w:trPr>
          <w:cantSplit/>
        </w:trPr>
        <w:tc>
          <w:tcPr>
            <w:tcW w:w="7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36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项目技术方案</w:t>
            </w:r>
          </w:p>
        </w:tc>
        <w:tc>
          <w:tcPr>
            <w:tcW w:w="7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89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根据投标人提供的整体技术方案是否完全包括等级保护定级备案、差距测评、验收测评、整改咨询、源代码安全审计、APP安全检测、网络安全保障服务等内容，进行评审。 </w:t>
            </w:r>
          </w:p>
          <w:p>
            <w:pPr>
              <w:keepNext w:val="0"/>
              <w:keepLines w:val="0"/>
              <w:widowControl/>
              <w:numPr>
                <w:ilvl w:val="0"/>
                <w:numId w:val="0"/>
              </w:numPr>
              <w:suppressLineNumbers w:val="0"/>
              <w:spacing w:line="240" w:lineRule="auto"/>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总体技术方案全面、完整、科学合理，详细和具体，可行性强，功能及性能完善，满足或优于招标文件要求的得10分； </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总体技术方案完整、较为合理，可行性较强，总体功能及性能完整，满足招标文件要求的得5分； </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总体技术方案基本完整，可行性一般，总体功能及性能一般，基本满足招标文件要求的得2分；</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4、总体技术方案不完整，可行性差，总体功能及性能较差，或无相应方案的得1分。 </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264" w:hRule="atLeast"/>
        </w:trPr>
        <w:tc>
          <w:tcPr>
            <w:tcW w:w="7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36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line="240" w:lineRule="auto"/>
              <w:jc w:val="center"/>
              <w:textAlignment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项目实施方案</w:t>
            </w:r>
          </w:p>
        </w:tc>
        <w:tc>
          <w:tcPr>
            <w:tcW w:w="7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tc>
        <w:tc>
          <w:tcPr>
            <w:tcW w:w="689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numPr>
                <w:ilvl w:val="0"/>
                <w:numId w:val="0"/>
              </w:numPr>
              <w:suppressLineNumbers w:val="0"/>
              <w:spacing w:line="240" w:lineRule="auto"/>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根据投标人提供的实施方案详细完整、组织合理得10分； </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根据投标人提供的实施方案较完善、组织较合理得5分； </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根据投标人提供的实施方案一般得1分。 </w:t>
            </w:r>
          </w:p>
          <w:p>
            <w:pPr>
              <w:keepNext w:val="0"/>
              <w:keepLines w:val="0"/>
              <w:widowControl/>
              <w:numPr>
                <w:ilvl w:val="0"/>
                <w:numId w:val="0"/>
              </w:numPr>
              <w:suppressLineNumbers w:val="0"/>
              <w:spacing w:line="240" w:lineRule="auto"/>
              <w:ind w:leftChars="0"/>
              <w:jc w:val="both"/>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不提供不得分。</w:t>
            </w:r>
          </w:p>
        </w:tc>
      </w:tr>
      <w:tr>
        <w:tblPrEx>
          <w:tblCellMar>
            <w:top w:w="0" w:type="dxa"/>
            <w:left w:w="0" w:type="dxa"/>
            <w:bottom w:w="0" w:type="dxa"/>
            <w:right w:w="0" w:type="dxa"/>
          </w:tblCellMar>
        </w:tblPrEx>
        <w:trPr>
          <w:cantSplit/>
          <w:trHeight w:val="495" w:hRule="atLeast"/>
        </w:trPr>
        <w:tc>
          <w:tcPr>
            <w:tcW w:w="2087"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w:t>
            </w:r>
          </w:p>
        </w:tc>
        <w:tc>
          <w:tcPr>
            <w:tcW w:w="7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89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24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w:t>
            </w:r>
          </w:p>
        </w:tc>
      </w:tr>
    </w:tbl>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p>
    <w:tbl>
      <w:tblPr>
        <w:tblStyle w:val="47"/>
        <w:tblW w:w="96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7"/>
        <w:gridCol w:w="1206"/>
        <w:gridCol w:w="900"/>
        <w:gridCol w:w="6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trPr>
        <w:tc>
          <w:tcPr>
            <w:tcW w:w="817"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206"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评审内容</w:t>
            </w:r>
          </w:p>
        </w:tc>
        <w:tc>
          <w:tcPr>
            <w:tcW w:w="900"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739"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13" w:hRule="atLeast"/>
        </w:trPr>
        <w:tc>
          <w:tcPr>
            <w:tcW w:w="817"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20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综合实力</w:t>
            </w:r>
          </w:p>
        </w:tc>
        <w:tc>
          <w:tcPr>
            <w:tcW w:w="900"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739" w:type="dxa"/>
            <w:tcMar>
              <w:top w:w="0" w:type="dxa"/>
              <w:left w:w="108" w:type="dxa"/>
              <w:bottom w:w="0" w:type="dxa"/>
              <w:right w:w="108" w:type="dxa"/>
            </w:tcMar>
            <w:vAlign w:val="center"/>
          </w:tcPr>
          <w:p>
            <w:pPr>
              <w:keepNext w:val="0"/>
              <w:keepLines w:val="0"/>
              <w:widowControl/>
              <w:suppressLineNumbers w:val="0"/>
              <w:jc w:val="left"/>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电子与智能化工程专业承包</w:t>
            </w:r>
            <w:r>
              <w:rPr>
                <w:rFonts w:hint="eastAsia" w:ascii="宋体" w:hAnsi="宋体"/>
                <w:color w:val="000000" w:themeColor="text1"/>
                <w:highlight w:val="none"/>
                <w:lang w:val="en-US" w:eastAsia="zh-CN"/>
                <w14:textFill>
                  <w14:solidFill>
                    <w14:schemeClr w14:val="tx1"/>
                  </w14:solidFill>
                </w14:textFill>
              </w:rPr>
              <w:t>贰级或以上</w:t>
            </w:r>
            <w:r>
              <w:rPr>
                <w:rFonts w:hint="eastAsia" w:ascii="宋体" w:hAnsi="宋体"/>
                <w:color w:val="000000" w:themeColor="text1"/>
                <w:highlight w:val="none"/>
                <w14:textFill>
                  <w14:solidFill>
                    <w14:schemeClr w14:val="tx1"/>
                  </w14:solidFill>
                </w14:textFill>
              </w:rPr>
              <w:t>、信息系统</w:t>
            </w:r>
            <w:r>
              <w:rPr>
                <w:rFonts w:hint="eastAsia" w:ascii="宋体" w:hAnsi="宋体"/>
                <w:color w:val="000000" w:themeColor="text1"/>
                <w:highlight w:val="none"/>
                <w:lang w:eastAsia="zh-CN"/>
                <w14:textFill>
                  <w14:solidFill>
                    <w14:schemeClr w14:val="tx1"/>
                  </w14:solidFill>
                </w14:textFill>
              </w:rPr>
              <w:t>网络</w:t>
            </w:r>
            <w:r>
              <w:rPr>
                <w:rFonts w:hint="eastAsia" w:ascii="宋体" w:hAnsi="宋体"/>
                <w:color w:val="000000" w:themeColor="text1"/>
                <w:highlight w:val="none"/>
                <w14:textFill>
                  <w14:solidFill>
                    <w14:schemeClr w14:val="tx1"/>
                  </w14:solidFill>
                </w14:textFill>
              </w:rPr>
              <w:t xml:space="preserve">集成资质证书、 </w:t>
            </w:r>
            <w:r>
              <w:rPr>
                <w:rFonts w:hint="eastAsia" w:ascii="宋体" w:hAnsi="宋体"/>
                <w:color w:val="000000" w:themeColor="text1"/>
                <w:highlight w:val="none"/>
                <w:lang w:val="en-US" w:eastAsia="zh-CN"/>
                <w14:textFill>
                  <w14:solidFill>
                    <w14:schemeClr w14:val="tx1"/>
                  </w14:solidFill>
                </w14:textFill>
              </w:rPr>
              <w:t>通信</w:t>
            </w:r>
            <w:r>
              <w:rPr>
                <w:rFonts w:hint="eastAsia" w:ascii="宋体" w:hAnsi="宋体"/>
                <w:color w:val="000000" w:themeColor="text1"/>
                <w:highlight w:val="none"/>
                <w14:textFill>
                  <w14:solidFill>
                    <w14:schemeClr w14:val="tx1"/>
                  </w14:solidFill>
                </w14:textFill>
              </w:rPr>
              <w:t>工程施工总承包资质、 有线广播电视台工程设计安装资质，每提供一个证书</w:t>
            </w:r>
            <w:r>
              <w:rPr>
                <w:rFonts w:hint="eastAsia" w:ascii="宋体" w:hAnsi="宋体"/>
                <w:color w:val="000000" w:themeColor="text1"/>
                <w:highlight w:val="none"/>
                <w:lang w:eastAsia="zh-CN"/>
                <w14:textFill>
                  <w14:solidFill>
                    <w14:schemeClr w14:val="tx1"/>
                  </w14:solidFill>
                </w14:textFill>
              </w:rPr>
              <w:t>得</w:t>
            </w:r>
            <w:r>
              <w:rPr>
                <w:rFonts w:hint="eastAsia" w:ascii="宋体" w:hAnsi="宋体"/>
                <w:color w:val="000000" w:themeColor="text1"/>
                <w:highlight w:val="none"/>
                <w:lang w:val="en-US" w:eastAsia="zh-CN"/>
                <w14:textFill>
                  <w14:solidFill>
                    <w14:schemeClr w14:val="tx1"/>
                  </w14:solidFill>
                </w14:textFill>
              </w:rPr>
              <w:t>1</w:t>
            </w:r>
            <w:r>
              <w:rPr>
                <w:rFonts w:hint="eastAsia" w:ascii="宋体" w:hAnsi="宋体"/>
                <w:color w:val="000000" w:themeColor="text1"/>
                <w:highlight w:val="none"/>
                <w14:textFill>
                  <w14:solidFill>
                    <w14:schemeClr w14:val="tx1"/>
                  </w14:solidFill>
                </w14:textFill>
              </w:rPr>
              <w:t>分，最高得</w:t>
            </w:r>
            <w:r>
              <w:rPr>
                <w:rFonts w:hint="eastAsia" w:ascii="宋体" w:hAnsi="宋体"/>
                <w:color w:val="000000" w:themeColor="text1"/>
                <w:highlight w:val="none"/>
                <w:lang w:val="en-US" w:eastAsia="zh-CN"/>
                <w14:textFill>
                  <w14:solidFill>
                    <w14:schemeClr w14:val="tx1"/>
                  </w14:solidFill>
                </w14:textFill>
              </w:rPr>
              <w:t>4</w:t>
            </w:r>
            <w:r>
              <w:rPr>
                <w:rFonts w:hint="eastAsia" w:ascii="宋体" w:hAnsi="宋体"/>
                <w:color w:val="000000" w:themeColor="text1"/>
                <w:highlight w:val="none"/>
                <w14:textFill>
                  <w14:solidFill>
                    <w14:schemeClr w14:val="tx1"/>
                  </w14:solidFill>
                </w14:textFill>
              </w:rPr>
              <w:t>分；(提供有效期内证书复印件并加盖公章)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817"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20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color w:val="000000" w:themeColor="text1"/>
                <w:sz w:val="21"/>
                <w:highlight w:val="none"/>
                <w14:textFill>
                  <w14:solidFill>
                    <w14:schemeClr w14:val="tx1"/>
                  </w14:solidFill>
                </w14:textFill>
              </w:rPr>
              <w:t>人员投入</w:t>
            </w:r>
          </w:p>
        </w:tc>
        <w:tc>
          <w:tcPr>
            <w:tcW w:w="900"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739" w:type="dxa"/>
            <w:tcMar>
              <w:top w:w="0" w:type="dxa"/>
              <w:left w:w="108" w:type="dxa"/>
              <w:bottom w:w="0" w:type="dxa"/>
              <w:right w:w="108" w:type="dxa"/>
            </w:tcMar>
            <w:vAlign w:val="center"/>
          </w:tcPr>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投标人拟派项目负责人(限1人)，每具有下列一项有效证书的，得</w:t>
            </w:r>
            <w:r>
              <w:rPr>
                <w:rFonts w:hint="eastAsia" w:ascii="宋体" w:hAnsi="宋体"/>
                <w:color w:val="000000" w:themeColor="text1"/>
                <w:highlight w:val="none"/>
                <w:lang w:val="en-US" w:eastAsia="zh-CN"/>
                <w14:textFill>
                  <w14:solidFill>
                    <w14:schemeClr w14:val="tx1"/>
                  </w14:solidFill>
                </w14:textFill>
              </w:rPr>
              <w:t>1</w:t>
            </w:r>
            <w:r>
              <w:rPr>
                <w:rFonts w:hint="eastAsia" w:ascii="宋体" w:hAnsi="宋体"/>
                <w:color w:val="000000" w:themeColor="text1"/>
                <w:highlight w:val="none"/>
                <w14:textFill>
                  <w14:solidFill>
                    <w14:schemeClr w14:val="tx1"/>
                  </w14:solidFill>
                </w14:textFill>
              </w:rPr>
              <w:t>分，最高得</w:t>
            </w:r>
            <w:r>
              <w:rPr>
                <w:rFonts w:hint="eastAsia" w:ascii="宋体" w:hAnsi="宋体"/>
                <w:color w:val="000000" w:themeColor="text1"/>
                <w:highlight w:val="none"/>
                <w:lang w:val="en-US" w:eastAsia="zh-CN"/>
                <w14:textFill>
                  <w14:solidFill>
                    <w14:schemeClr w14:val="tx1"/>
                  </w14:solidFill>
                </w14:textFill>
              </w:rPr>
              <w:t>4</w:t>
            </w:r>
            <w:r>
              <w:rPr>
                <w:rFonts w:hint="eastAsia" w:ascii="宋体" w:hAnsi="宋体"/>
                <w:color w:val="000000" w:themeColor="text1"/>
                <w:highlight w:val="none"/>
                <w14:textFill>
                  <w14:solidFill>
                    <w14:schemeClr w14:val="tx1"/>
                  </w14:solidFill>
                </w14:textFill>
              </w:rPr>
              <w:t>分：</w:t>
            </w:r>
          </w:p>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1、具有一级建造师（</w:t>
            </w:r>
            <w:r>
              <w:rPr>
                <w:rFonts w:hint="eastAsia" w:ascii="宋体" w:hAnsi="宋体"/>
                <w:color w:val="000000" w:themeColor="text1"/>
                <w:highlight w:val="none"/>
                <w:lang w:val="en-US" w:eastAsia="zh-CN"/>
                <w14:textFill>
                  <w14:solidFill>
                    <w14:schemeClr w14:val="tx1"/>
                  </w14:solidFill>
                </w14:textFill>
              </w:rPr>
              <w:t>通信与广电工程</w:t>
            </w:r>
            <w:r>
              <w:rPr>
                <w:rFonts w:hint="eastAsia" w:ascii="宋体" w:hAnsi="宋体"/>
                <w:color w:val="000000" w:themeColor="text1"/>
                <w:highlight w:val="none"/>
                <w14:textFill>
                  <w14:solidFill>
                    <w14:schemeClr w14:val="tx1"/>
                  </w14:solidFill>
                </w14:textFill>
              </w:rPr>
              <w:t>）证书；</w:t>
            </w:r>
          </w:p>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2、具有</w:t>
            </w:r>
            <w:r>
              <w:rPr>
                <w:rFonts w:hint="eastAsia" w:ascii="宋体" w:hAnsi="宋体"/>
                <w:color w:val="000000" w:themeColor="text1"/>
                <w:highlight w:val="none"/>
                <w:lang w:val="en-US" w:eastAsia="zh-CN"/>
                <w14:textFill>
                  <w14:solidFill>
                    <w14:schemeClr w14:val="tx1"/>
                  </w14:solidFill>
                </w14:textFill>
              </w:rPr>
              <w:t>PMP证书</w:t>
            </w:r>
            <w:r>
              <w:rPr>
                <w:rFonts w:hint="eastAsia" w:ascii="宋体" w:hAnsi="宋体"/>
                <w:color w:val="000000" w:themeColor="text1"/>
                <w:highlight w:val="none"/>
                <w14:textFill>
                  <w14:solidFill>
                    <w14:schemeClr w14:val="tx1"/>
                  </w14:solidFill>
                </w14:textFill>
              </w:rPr>
              <w:t>；</w:t>
            </w:r>
          </w:p>
          <w:p>
            <w:pPr>
              <w:jc w:val="left"/>
              <w:rPr>
                <w:rFonts w:hint="eastAsia" w:ascii="宋体" w:hAnsi="宋体" w:eastAsia="宋体"/>
                <w:color w:val="000000" w:themeColor="text1"/>
                <w:highlight w:val="none"/>
                <w:lang w:eastAsia="zh-CN"/>
                <w14:textFill>
                  <w14:solidFill>
                    <w14:schemeClr w14:val="tx1"/>
                  </w14:solidFill>
                </w14:textFill>
              </w:rPr>
            </w:pPr>
            <w:r>
              <w:rPr>
                <w:rFonts w:hint="eastAsia" w:ascii="宋体" w:hAnsi="宋体"/>
                <w:color w:val="000000" w:themeColor="text1"/>
                <w:highlight w:val="none"/>
                <w14:textFill>
                  <w14:solidFill>
                    <w14:schemeClr w14:val="tx1"/>
                  </w14:solidFill>
                </w14:textFill>
              </w:rPr>
              <w:t>3、具有通信网络管理员一级认证证书；</w:t>
            </w:r>
          </w:p>
          <w:p>
            <w:pPr>
              <w:jc w:val="left"/>
              <w:rPr>
                <w:rFonts w:hint="eastAsia"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4。</w:t>
            </w:r>
            <w:r>
              <w:rPr>
                <w:rFonts w:hint="eastAsia" w:ascii="宋体" w:hAnsi="宋体"/>
                <w:color w:val="000000" w:themeColor="text1"/>
                <w:highlight w:val="none"/>
                <w14:textFill>
                  <w14:solidFill>
                    <w14:schemeClr w14:val="tx1"/>
                  </w14:solidFill>
                </w14:textFill>
              </w:rPr>
              <w:t>具有</w:t>
            </w:r>
            <w:r>
              <w:rPr>
                <w:rFonts w:hint="eastAsia" w:ascii="宋体" w:hAnsi="宋体"/>
                <w:color w:val="000000" w:themeColor="text1"/>
                <w:highlight w:val="none"/>
                <w:lang w:val="en-US" w:eastAsia="zh-CN"/>
                <w14:textFill>
                  <w14:solidFill>
                    <w14:schemeClr w14:val="tx1"/>
                  </w14:solidFill>
                </w14:textFill>
              </w:rPr>
              <w:t>信息系统项目管理师</w:t>
            </w:r>
          </w:p>
          <w:p>
            <w:pPr>
              <w:jc w:val="left"/>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(须提供项目负责人相关证书复印件及近三个月在投标人名下参保证明复印件，不提供证明材料不得分)</w:t>
            </w:r>
          </w:p>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投标人拟派的项目技术服务团队成员(除项目负责人外的成员)情况：</w:t>
            </w:r>
          </w:p>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1、具有</w:t>
            </w:r>
            <w:r>
              <w:rPr>
                <w:rFonts w:hint="eastAsia" w:ascii="宋体" w:hAnsi="宋体"/>
                <w:color w:val="000000" w:themeColor="text1"/>
                <w:highlight w:val="none"/>
                <w:lang w:val="en-US" w:eastAsia="zh-CN"/>
                <w14:textFill>
                  <w14:solidFill>
                    <w14:schemeClr w14:val="tx1"/>
                  </w14:solidFill>
                </w14:textFill>
              </w:rPr>
              <w:t>信息系统项目管理师</w:t>
            </w:r>
            <w:r>
              <w:rPr>
                <w:rFonts w:hint="eastAsia" w:ascii="宋体" w:hAnsi="宋体"/>
                <w:color w:val="000000" w:themeColor="text1"/>
                <w:highlight w:val="none"/>
                <w14:textFill>
                  <w14:solidFill>
                    <w14:schemeClr w14:val="tx1"/>
                  </w14:solidFill>
                </w14:textFill>
              </w:rPr>
              <w:t>的，每提供1个得</w:t>
            </w:r>
            <w:r>
              <w:rPr>
                <w:rFonts w:hint="eastAsia" w:ascii="宋体" w:hAnsi="宋体"/>
                <w:color w:val="000000" w:themeColor="text1"/>
                <w:highlight w:val="none"/>
                <w:lang w:val="en-US" w:eastAsia="zh-CN"/>
                <w14:textFill>
                  <w14:solidFill>
                    <w14:schemeClr w14:val="tx1"/>
                  </w14:solidFill>
                </w14:textFill>
              </w:rPr>
              <w:t>1</w:t>
            </w:r>
            <w:r>
              <w:rPr>
                <w:rFonts w:hint="eastAsia" w:ascii="宋体" w:hAnsi="宋体"/>
                <w:color w:val="000000" w:themeColor="text1"/>
                <w:highlight w:val="none"/>
                <w14:textFill>
                  <w14:solidFill>
                    <w14:schemeClr w14:val="tx1"/>
                  </w14:solidFill>
                </w14:textFill>
              </w:rPr>
              <w:t>分；</w:t>
            </w:r>
          </w:p>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2、具有</w:t>
            </w:r>
            <w:r>
              <w:rPr>
                <w:rFonts w:hint="eastAsia" w:ascii="宋体" w:hAnsi="宋体"/>
                <w:color w:val="000000" w:themeColor="text1"/>
                <w:highlight w:val="none"/>
                <w:lang w:eastAsia="zh-CN"/>
                <w14:textFill>
                  <w14:solidFill>
                    <w14:schemeClr w14:val="tx1"/>
                  </w14:solidFill>
                </w14:textFill>
              </w:rPr>
              <w:t>网络</w:t>
            </w:r>
            <w:r>
              <w:rPr>
                <w:rFonts w:hint="eastAsia" w:ascii="宋体" w:hAnsi="宋体"/>
                <w:color w:val="000000" w:themeColor="text1"/>
                <w:highlight w:val="none"/>
                <w14:textFill>
                  <w14:solidFill>
                    <w14:schemeClr w14:val="tx1"/>
                  </w14:solidFill>
                </w14:textFill>
              </w:rPr>
              <w:t>工程师的，每提供1个得1分；</w:t>
            </w:r>
          </w:p>
          <w:p>
            <w:pPr>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本项合计最高得</w:t>
            </w:r>
            <w:r>
              <w:rPr>
                <w:rFonts w:hint="eastAsia" w:ascii="宋体" w:hAnsi="宋体"/>
                <w:color w:val="000000" w:themeColor="text1"/>
                <w:highlight w:val="none"/>
                <w:lang w:val="en-US" w:eastAsia="zh-CN"/>
                <w14:textFill>
                  <w14:solidFill>
                    <w14:schemeClr w14:val="tx1"/>
                  </w14:solidFill>
                </w14:textFill>
              </w:rPr>
              <w:t>2</w:t>
            </w:r>
            <w:r>
              <w:rPr>
                <w:rFonts w:hint="eastAsia" w:ascii="宋体" w:hAnsi="宋体"/>
                <w:color w:val="000000" w:themeColor="text1"/>
                <w:highlight w:val="none"/>
                <w14:textFill>
                  <w14:solidFill>
                    <w14:schemeClr w14:val="tx1"/>
                  </w14:solidFill>
                </w14:textFill>
              </w:rPr>
              <w:t>分。</w:t>
            </w:r>
          </w:p>
          <w:p>
            <w:pPr>
              <w:keepNext w:val="0"/>
              <w:keepLines w:val="0"/>
              <w:widowControl/>
              <w:numPr>
                <w:ilvl w:val="0"/>
                <w:numId w:val="0"/>
              </w:numPr>
              <w:suppressLineNumbers w:val="0"/>
              <w:ind w:leftChars="0"/>
              <w:jc w:val="left"/>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(须提供项目技术服务团队成员相关证书复印件，同一人员持多项证书的按最高分计，不重复得分，不提供证明材料不得分)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817" w:type="dxa"/>
            <w:tcMar>
              <w:top w:w="0" w:type="dxa"/>
              <w:left w:w="108" w:type="dxa"/>
              <w:bottom w:w="0" w:type="dxa"/>
              <w:right w:w="108" w:type="dxa"/>
            </w:tcMar>
            <w:vAlign w:val="center"/>
          </w:tcPr>
          <w:p>
            <w:pPr>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20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同类业绩</w:t>
            </w:r>
          </w:p>
        </w:tc>
        <w:tc>
          <w:tcPr>
            <w:tcW w:w="900" w:type="dxa"/>
            <w:tcMar>
              <w:top w:w="0" w:type="dxa"/>
              <w:left w:w="108" w:type="dxa"/>
              <w:bottom w:w="0" w:type="dxa"/>
              <w:right w:w="108" w:type="dxa"/>
            </w:tcMar>
            <w:vAlign w:val="center"/>
          </w:tcPr>
          <w:p>
            <w:pPr>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739" w:type="dxa"/>
            <w:tcMar>
              <w:top w:w="0" w:type="dxa"/>
              <w:left w:w="108" w:type="dxa"/>
              <w:bottom w:w="0" w:type="dxa"/>
              <w:right w:w="108"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根据投标人提供2019年至今同类业绩进行打分，</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以合同签订时间为准，</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提供一份得1分，满分5分。</w:t>
            </w:r>
          </w:p>
          <w:p>
            <w:pPr>
              <w:keepNext w:val="0"/>
              <w:keepLines w:val="0"/>
              <w:widowControl/>
              <w:suppressLineNumbers w:val="0"/>
              <w:jc w:val="left"/>
              <w:textAlignment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（同类业绩证明文件应包括合同关键页及验收报告复印件加盖公章，原件核查，否则视为无效业绩，该项不得分）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817" w:type="dxa"/>
            <w:tcMar>
              <w:top w:w="0" w:type="dxa"/>
              <w:left w:w="108" w:type="dxa"/>
              <w:bottom w:w="0" w:type="dxa"/>
              <w:right w:w="108" w:type="dxa"/>
            </w:tcMar>
            <w:vAlign w:val="center"/>
          </w:tcPr>
          <w:p>
            <w:pPr>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20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售后服务</w:t>
            </w:r>
          </w:p>
        </w:tc>
        <w:tc>
          <w:tcPr>
            <w:tcW w:w="900" w:type="dxa"/>
            <w:tcMar>
              <w:top w:w="0" w:type="dxa"/>
              <w:left w:w="108" w:type="dxa"/>
              <w:bottom w:w="0" w:type="dxa"/>
              <w:right w:w="108" w:type="dxa"/>
            </w:tcMar>
            <w:vAlign w:val="center"/>
          </w:tcPr>
          <w:p>
            <w:pPr>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739" w:type="dxa"/>
            <w:tcMar>
              <w:top w:w="0" w:type="dxa"/>
              <w:left w:w="108" w:type="dxa"/>
              <w:bottom w:w="0" w:type="dxa"/>
              <w:right w:w="108"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售后服务方案和培训方案完善详细、组织合理、服务保障便捷、响应 时间优于文件要求的得5分；</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售后服务方案和培训方案较完善、组织较 合理、服务保障较便捷、响应时间满足文件要求的得3分； </w:t>
            </w:r>
          </w:p>
          <w:p>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售后服务方案和培训方案一般，服务和响应时间基本满足文件要求的得2分； </w:t>
            </w:r>
          </w:p>
          <w:p>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 xml:space="preserve">售后服务方案和培训方案不完整，服务和响应时间不满足文件要求的得1分。 </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atLeast"/>
        </w:trPr>
        <w:tc>
          <w:tcPr>
            <w:tcW w:w="2023" w:type="dxa"/>
            <w:gridSpan w:val="2"/>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w:t>
            </w:r>
          </w:p>
        </w:tc>
        <w:tc>
          <w:tcPr>
            <w:tcW w:w="900"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739" w:type="dxa"/>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p>
        </w:tc>
      </w:tr>
    </w:tbl>
    <w:p>
      <w:pPr>
        <w:rPr>
          <w:rFonts w:asci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注：对照每项评价指标要求，投标文件完全不满足要求的，不得分。</w:t>
      </w: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7" w:right="1230" w:bottom="1417" w:left="1230" w:header="851" w:footer="850" w:gutter="0"/>
          <w:pgBorders>
            <w:top w:val="none" w:sz="0" w:space="0"/>
            <w:left w:val="none" w:sz="0" w:space="0"/>
            <w:bottom w:val="none" w:sz="0" w:space="0"/>
            <w:right w:val="none" w:sz="0" w:space="0"/>
          </w:pgBorders>
          <w:cols w:space="0" w:num="1"/>
          <w:docGrid w:linePitch="312" w:charSpace="0"/>
        </w:sectPr>
      </w:pPr>
    </w:p>
    <w:bookmarkEnd w:id="1570"/>
    <w:bookmarkEnd w:id="1571"/>
    <w:bookmarkEnd w:id="1572"/>
    <w:bookmarkEnd w:id="1573"/>
    <w:bookmarkEnd w:id="1574"/>
    <w:bookmarkEnd w:id="1575"/>
    <w:bookmarkEnd w:id="1576"/>
    <w:bookmarkEnd w:id="1577"/>
    <w:bookmarkEnd w:id="1578"/>
    <w:bookmarkEnd w:id="1579"/>
    <w:p>
      <w:pPr>
        <w:pStyle w:val="2"/>
        <w:numPr>
          <w:ilvl w:val="0"/>
          <w:numId w:val="0"/>
        </w:numPr>
        <w:spacing w:beforeLines="0"/>
        <w:rPr>
          <w:color w:val="000000" w:themeColor="text1"/>
          <w:highlight w:val="none"/>
          <w14:textFill>
            <w14:solidFill>
              <w14:schemeClr w14:val="tx1"/>
            </w14:solidFill>
          </w14:textFill>
        </w:rPr>
      </w:pPr>
      <w:bookmarkStart w:id="1590" w:name="_Hlt21939000"/>
      <w:bookmarkEnd w:id="1590"/>
      <w:bookmarkStart w:id="1591" w:name="_Toc349143598"/>
      <w:bookmarkStart w:id="1592" w:name="_Toc337632367"/>
      <w:bookmarkStart w:id="1593" w:name="_Toc339020242"/>
      <w:bookmarkStart w:id="1594" w:name="_Toc332206717"/>
      <w:bookmarkStart w:id="1595" w:name="_Toc340677079"/>
      <w:bookmarkStart w:id="1596" w:name="_Toc339019898"/>
      <w:bookmarkStart w:id="1597" w:name="_Toc339020024"/>
      <w:bookmarkStart w:id="1598" w:name="_Toc333935355"/>
      <w:bookmarkStart w:id="1599" w:name="_Toc330459994"/>
      <w:bookmarkStart w:id="1600" w:name="_Toc339441096"/>
      <w:bookmarkStart w:id="1601" w:name="_Toc340672878"/>
      <w:bookmarkStart w:id="1602" w:name="_Toc336681589"/>
      <w:bookmarkStart w:id="1603" w:name="_Toc336681944"/>
      <w:bookmarkStart w:id="1604" w:name="_Toc366072538"/>
      <w:bookmarkStart w:id="1605" w:name="_Toc333935696"/>
      <w:bookmarkStart w:id="1606" w:name="_Toc345513910"/>
      <w:bookmarkStart w:id="1607" w:name="_Toc333238642"/>
      <w:bookmarkStart w:id="1608" w:name="_Toc365967081"/>
      <w:bookmarkStart w:id="1609" w:name="_Toc349127635"/>
      <w:bookmarkStart w:id="1610" w:name="_Toc339362309"/>
      <w:bookmarkStart w:id="1611" w:name="_Toc350756459"/>
      <w:bookmarkStart w:id="1612" w:name="_Toc350438758"/>
      <w:bookmarkStart w:id="1613" w:name="_Toc341348347"/>
      <w:bookmarkStart w:id="1614" w:name="_Toc333237797"/>
      <w:bookmarkStart w:id="1615" w:name="_Toc331512907"/>
      <w:bookmarkStart w:id="1616" w:name="_Toc342296769"/>
      <w:bookmarkStart w:id="1617" w:name="_Toc332270355"/>
      <w:bookmarkStart w:id="1618" w:name="_Toc339020104"/>
      <w:bookmarkStart w:id="1619" w:name="_Toc365985187"/>
      <w:bookmarkStart w:id="1620" w:name="_Toc331684047"/>
      <w:bookmarkStart w:id="1621" w:name="_Toc340507451"/>
      <w:bookmarkStart w:id="1622" w:name="_Toc342060383"/>
      <w:bookmarkStart w:id="1623" w:name="_Toc333237686"/>
      <w:bookmarkStart w:id="1624" w:name="_Toc374454610"/>
      <w:bookmarkStart w:id="1625" w:name="_Toc28744"/>
      <w:r>
        <w:rPr>
          <w:rFonts w:hint="eastAsia"/>
          <w:color w:val="000000" w:themeColor="text1"/>
          <w:highlight w:val="none"/>
          <w14:textFill>
            <w14:solidFill>
              <w14:schemeClr w14:val="tx1"/>
            </w14:solidFill>
          </w14:textFill>
        </w:rPr>
        <w:t xml:space="preserve">第四部分  </w:t>
      </w:r>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Start w:id="1626" w:name="_Hlt97188170"/>
      <w:bookmarkEnd w:id="1626"/>
      <w:r>
        <w:rPr>
          <w:rFonts w:hint="eastAsia"/>
          <w:color w:val="000000" w:themeColor="text1"/>
          <w:highlight w:val="none"/>
          <w14:textFill>
            <w14:solidFill>
              <w14:schemeClr w14:val="tx1"/>
            </w14:solidFill>
          </w14:textFill>
        </w:rPr>
        <w:t>采购项目合同（参考范本）</w:t>
      </w:r>
      <w:bookmarkEnd w:id="1625"/>
    </w:p>
    <w:p>
      <w:pPr>
        <w:rPr>
          <w:bCs/>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7"/>
        <w:rPr>
          <w:rFonts w:hint="eastAsia" w:ascii="宋体" w:hAnsi="宋体"/>
          <w:b/>
          <w:color w:val="000000" w:themeColor="text1"/>
          <w:sz w:val="36"/>
          <w:szCs w:val="36"/>
          <w:highlight w:val="none"/>
          <w14:textFill>
            <w14:solidFill>
              <w14:schemeClr w14:val="tx1"/>
            </w14:solidFill>
          </w14:textFill>
        </w:rPr>
      </w:pPr>
    </w:p>
    <w:p>
      <w:pPr>
        <w:pStyle w:val="57"/>
        <w:rPr>
          <w:rFonts w:hint="eastAsia" w:ascii="宋体" w:hAnsi="宋体"/>
          <w:b/>
          <w:color w:val="000000" w:themeColor="text1"/>
          <w:sz w:val="36"/>
          <w:szCs w:val="36"/>
          <w:highlight w:val="none"/>
          <w14:textFill>
            <w14:solidFill>
              <w14:schemeClr w14:val="tx1"/>
            </w14:solidFill>
          </w14:textFill>
        </w:rPr>
      </w:pPr>
    </w:p>
    <w:p>
      <w:pPr>
        <w:pStyle w:val="57"/>
        <w:rPr>
          <w:rFonts w:hint="eastAsia" w:ascii="宋体" w:hAnsi="宋体"/>
          <w:b/>
          <w:color w:val="000000" w:themeColor="text1"/>
          <w:sz w:val="36"/>
          <w:szCs w:val="36"/>
          <w:highlight w:val="none"/>
          <w14:textFill>
            <w14:solidFill>
              <w14:schemeClr w14:val="tx1"/>
            </w14:solidFill>
          </w14:textFill>
        </w:rPr>
      </w:pPr>
    </w:p>
    <w:p>
      <w:pPr>
        <w:pStyle w:val="57"/>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甲    方：</w:t>
      </w:r>
      <w:r>
        <w:rPr>
          <w:rFonts w:hint="eastAsia" w:ascii="宋体" w:hAnsi="宋体"/>
          <w:b/>
          <w:color w:val="000000" w:themeColor="text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乙    方：</w:t>
      </w:r>
      <w:r>
        <w:rPr>
          <w:rFonts w:hint="eastAsia" w:ascii="宋体" w:hAnsi="宋体"/>
          <w:b/>
          <w:color w:val="000000" w:themeColor="text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根据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项目（采购编号：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）的采购结果</w:t>
      </w:r>
      <w:r>
        <w:rPr>
          <w:rFonts w:hint="eastAsia" w:ascii="宋体" w:hAnsi="宋体"/>
          <w:color w:val="000000" w:themeColor="text1"/>
          <w:szCs w:val="21"/>
          <w:highlight w:val="none"/>
          <w:lang w:val="en-US" w:eastAsia="zh-CN"/>
          <w14:textFill>
            <w14:solidFill>
              <w14:schemeClr w14:val="tx1"/>
            </w14:solidFill>
          </w14:textFill>
        </w:rPr>
        <w:t>及</w:t>
      </w:r>
      <w:r>
        <w:rPr>
          <w:rFonts w:hint="eastAsia" w:ascii="宋体" w:hAnsi="宋体" w:cs="微软雅黑"/>
          <w:color w:val="000000" w:themeColor="text1"/>
          <w:szCs w:val="21"/>
          <w:highlight w:val="none"/>
          <w14:textFill>
            <w14:solidFill>
              <w14:schemeClr w14:val="tx1"/>
            </w14:solidFill>
          </w14:textFill>
        </w:rPr>
        <w:t>招标投标文件中的相关约定</w:t>
      </w:r>
      <w:r>
        <w:rPr>
          <w:rFonts w:hint="eastAsia" w:ascii="宋体" w:hAnsi="宋体"/>
          <w:color w:val="000000" w:themeColor="text1"/>
          <w:szCs w:val="21"/>
          <w:highlight w:val="none"/>
          <w14:textFill>
            <w14:solidFill>
              <w14:schemeClr w14:val="tx1"/>
            </w14:solidFill>
          </w14:textFill>
        </w:rPr>
        <w:t>，按照《中华人民共和国政府采购法》、《中华人民共和国民法典》的规定，</w:t>
      </w:r>
      <w:r>
        <w:rPr>
          <w:rFonts w:hint="eastAsia" w:ascii="宋体" w:hAnsi="宋体"/>
          <w:color w:val="000000" w:themeColor="text1"/>
          <w:kern w:val="28"/>
          <w:szCs w:val="21"/>
          <w:highlight w:val="none"/>
          <w14:textFill>
            <w14:solidFill>
              <w14:schemeClr w14:val="tx1"/>
            </w14:solidFill>
          </w14:textFill>
        </w:rPr>
        <w:t>经双方协商，</w:t>
      </w:r>
      <w:r>
        <w:rPr>
          <w:rFonts w:hint="eastAsia" w:ascii="宋体" w:hAnsi="宋体"/>
          <w:color w:val="000000" w:themeColor="text1"/>
          <w:szCs w:val="21"/>
          <w:highlight w:val="none"/>
          <w14:textFill>
            <w14:solidFill>
              <w14:schemeClr w14:val="tx1"/>
            </w14:solidFill>
          </w14:textFill>
        </w:rPr>
        <w:t>本着平等互利和诚实信用的原则，</w:t>
      </w:r>
      <w:r>
        <w:rPr>
          <w:rFonts w:hint="eastAsia" w:ascii="宋体" w:hAnsi="宋体"/>
          <w:color w:val="000000" w:themeColor="text1"/>
          <w:kern w:val="28"/>
          <w:szCs w:val="21"/>
          <w:highlight w:val="none"/>
          <w14:textFill>
            <w14:solidFill>
              <w14:schemeClr w14:val="tx1"/>
            </w14:solidFill>
          </w14:textFill>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二、合同金额</w:t>
      </w:r>
    </w:p>
    <w:p>
      <w:pPr>
        <w:pStyle w:val="24"/>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r>
        <w:rPr>
          <w:rFonts w:hint="eastAsia" w:ascii="宋体" w:hAnsi="宋体"/>
          <w:b/>
          <w:color w:val="000000" w:themeColor="text1"/>
          <w:szCs w:val="21"/>
          <w:highlight w:val="none"/>
          <w14:textFill>
            <w14:solidFill>
              <w14:schemeClr w14:val="tx1"/>
            </w14:solidFill>
          </w14:textFill>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九、</w:t>
      </w:r>
      <w:r>
        <w:rPr>
          <w:rFonts w:hint="eastAsia" w:ascii="宋体" w:hAnsi="宋体"/>
          <w:b/>
          <w:color w:val="000000" w:themeColor="text1"/>
          <w:szCs w:val="21"/>
          <w:highlight w:val="none"/>
          <w14:textFill>
            <w14:solidFill>
              <w14:schemeClr w14:val="tx1"/>
            </w14:solidFill>
          </w14:textFill>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2、合同一式</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份。</w:t>
      </w:r>
    </w:p>
    <w:p>
      <w:pPr>
        <w:tabs>
          <w:tab w:val="left" w:pos="1004"/>
        </w:tabs>
        <w:spacing w:line="360" w:lineRule="exac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本项目合同订立后，应提供</w:t>
      </w:r>
      <w:r>
        <w:rPr>
          <w:rFonts w:hint="eastAsia" w:ascii="宋体" w:hAnsi="宋体"/>
          <w:bCs/>
          <w:color w:val="000000" w:themeColor="text1"/>
          <w:szCs w:val="21"/>
          <w:highlight w:val="none"/>
          <w:lang w:val="en-US" w:eastAsia="zh-CN"/>
          <w14:textFill>
            <w14:solidFill>
              <w14:schemeClr w14:val="tx1"/>
            </w14:solidFill>
          </w14:textFill>
        </w:rPr>
        <w:t>一份</w:t>
      </w:r>
      <w:r>
        <w:rPr>
          <w:rFonts w:hint="eastAsia" w:ascii="宋体" w:hAnsi="宋体"/>
          <w:bCs/>
          <w:color w:val="000000" w:themeColor="text1"/>
          <w:szCs w:val="21"/>
          <w:highlight w:val="none"/>
          <w14:textFill>
            <w14:solidFill>
              <w14:schemeClr w14:val="tx1"/>
            </w14:solidFill>
          </w14:textFill>
        </w:rPr>
        <w:t>至</w:t>
      </w:r>
      <w:r>
        <w:rPr>
          <w:rFonts w:hint="eastAsia" w:ascii="宋体" w:hAnsi="宋体"/>
          <w:bCs/>
          <w:color w:val="000000" w:themeColor="text1"/>
          <w:szCs w:val="21"/>
          <w:highlight w:val="none"/>
          <w:u w:val="single"/>
          <w14:textFill>
            <w14:solidFill>
              <w14:schemeClr w14:val="tx1"/>
            </w14:solidFill>
          </w14:textFill>
        </w:rPr>
        <w:t>广东业信采购招标有限公司</w:t>
      </w:r>
      <w:r>
        <w:rPr>
          <w:rFonts w:hint="eastAsia" w:ascii="宋体" w:hAnsi="宋体"/>
          <w:bCs/>
          <w:color w:val="000000" w:themeColor="text1"/>
          <w:szCs w:val="21"/>
          <w:highlight w:val="none"/>
          <w14:textFill>
            <w14:solidFill>
              <w14:schemeClr w14:val="tx1"/>
            </w14:solidFill>
          </w14:textFill>
        </w:rPr>
        <w:t>备案；</w:t>
      </w:r>
      <w:r>
        <w:rPr>
          <w:rFonts w:ascii="宋体" w:hAnsi="宋体"/>
          <w:bCs/>
          <w:color w:val="000000" w:themeColor="text1"/>
          <w:szCs w:val="21"/>
          <w:highlight w:val="none"/>
          <w14:textFill>
            <w14:solidFill>
              <w14:schemeClr w14:val="tx1"/>
            </w14:solidFill>
          </w14:textFill>
        </w:rPr>
        <w:t xml:space="preserve"> </w:t>
      </w:r>
    </w:p>
    <w:p>
      <w:pPr>
        <w:pStyle w:val="57"/>
        <w:rPr>
          <w:rFonts w:ascii="宋体" w:hAnsi="宋体"/>
          <w:bCs/>
          <w:color w:val="000000" w:themeColor="text1"/>
          <w:szCs w:val="21"/>
          <w:highlight w:val="none"/>
          <w14:textFill>
            <w14:solidFill>
              <w14:schemeClr w14:val="tx1"/>
            </w14:solidFill>
          </w14:textFill>
        </w:rPr>
      </w:pPr>
    </w:p>
    <w:p>
      <w:pPr>
        <w:pStyle w:val="57"/>
        <w:rPr>
          <w:rFonts w:ascii="宋体" w:hAnsi="宋体"/>
          <w:bCs/>
          <w:color w:val="000000" w:themeColor="text1"/>
          <w:szCs w:val="21"/>
          <w:highlight w:val="none"/>
          <w14:textFill>
            <w14:solidFill>
              <w14:schemeClr w14:val="tx1"/>
            </w14:solidFill>
          </w14:textFill>
        </w:rPr>
      </w:pPr>
    </w:p>
    <w:p>
      <w:pPr>
        <w:pStyle w:val="57"/>
        <w:rPr>
          <w:rFonts w:hint="eastAsia"/>
          <w:color w:val="000000" w:themeColor="text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 户 行：</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p>
    <w:p>
      <w:pPr>
        <w:pStyle w:val="2"/>
        <w:numPr>
          <w:ilvl w:val="0"/>
          <w:numId w:val="0"/>
        </w:numPr>
        <w:spacing w:beforeLines="0"/>
        <w:rPr>
          <w:color w:val="000000" w:themeColor="text1"/>
          <w:highlight w:val="none"/>
          <w14:textFill>
            <w14:solidFill>
              <w14:schemeClr w14:val="tx1"/>
            </w14:solidFill>
          </w14:textFill>
        </w:rPr>
      </w:pPr>
      <w:bookmarkStart w:id="1627" w:name="_Toc341348348"/>
      <w:bookmarkStart w:id="1628" w:name="_Toc350756460"/>
      <w:bookmarkStart w:id="1629" w:name="_Toc339441097"/>
      <w:bookmarkStart w:id="1630" w:name="_Toc339020025"/>
      <w:bookmarkStart w:id="1631" w:name="_Toc339020243"/>
      <w:bookmarkStart w:id="1632" w:name="_Toc333237798"/>
      <w:bookmarkStart w:id="1633" w:name="_Toc333238643"/>
      <w:bookmarkStart w:id="1634" w:name="_Toc10799"/>
      <w:bookmarkStart w:id="1635" w:name="_Toc340672879"/>
      <w:bookmarkStart w:id="1636" w:name="_Toc500861025"/>
      <w:bookmarkStart w:id="1637" w:name="_Toc333935697"/>
      <w:bookmarkStart w:id="1638" w:name="_Toc339020105"/>
      <w:bookmarkStart w:id="1639" w:name="_Toc366072539"/>
      <w:bookmarkStart w:id="1640" w:name="_Toc339019899"/>
      <w:bookmarkStart w:id="1641" w:name="_Toc342060384"/>
      <w:bookmarkStart w:id="1642" w:name="_Toc349127636"/>
      <w:bookmarkStart w:id="1643" w:name="_Toc332206718"/>
      <w:bookmarkStart w:id="1644" w:name="_Toc330459995"/>
      <w:bookmarkStart w:id="1645" w:name="_Toc336681945"/>
      <w:bookmarkStart w:id="1646" w:name="_Toc333935356"/>
      <w:bookmarkStart w:id="1647" w:name="_Toc365985188"/>
      <w:bookmarkStart w:id="1648" w:name="_Toc337632368"/>
      <w:bookmarkStart w:id="1649" w:name="_Toc491658678"/>
      <w:bookmarkStart w:id="1650" w:name="_Toc345513911"/>
      <w:bookmarkStart w:id="1651" w:name="_Toc339362310"/>
      <w:bookmarkStart w:id="1652" w:name="_Toc336681590"/>
      <w:bookmarkStart w:id="1653" w:name="_Toc340677080"/>
      <w:bookmarkStart w:id="1654" w:name="_Toc349143599"/>
      <w:bookmarkStart w:id="1655" w:name="_Toc332270356"/>
      <w:bookmarkStart w:id="1656" w:name="_Toc350438759"/>
      <w:bookmarkStart w:id="1657" w:name="_Toc333237687"/>
      <w:bookmarkStart w:id="1658" w:name="_Toc340507452"/>
      <w:bookmarkStart w:id="1659" w:name="_Toc331684048"/>
      <w:bookmarkStart w:id="1660" w:name="_Toc365967082"/>
      <w:bookmarkStart w:id="1661" w:name="_Toc342296770"/>
      <w:bookmarkStart w:id="1662" w:name="_Toc331512908"/>
      <w:r>
        <w:rPr>
          <w:rFonts w:hint="eastAsia"/>
          <w:color w:val="000000" w:themeColor="text1"/>
          <w:highlight w:val="none"/>
          <w14:textFill>
            <w14:solidFill>
              <w14:schemeClr w14:val="tx1"/>
            </w14:solidFill>
          </w14:textFill>
        </w:rPr>
        <w:t>第五部分</w:t>
      </w:r>
      <w:bookmarkStart w:id="1663" w:name="_Hlt97188172"/>
      <w:bookmarkEnd w:id="1663"/>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投标文件格式</w:t>
      </w:r>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Start w:id="1664" w:name="_Hlt21938933"/>
      <w:bookmarkEnd w:id="1664"/>
    </w:p>
    <w:p>
      <w:pPr>
        <w:pStyle w:val="3"/>
        <w:numPr>
          <w:ilvl w:val="0"/>
          <w:numId w:val="0"/>
        </w:numPr>
        <w:rPr>
          <w:color w:val="000000" w:themeColor="text1"/>
          <w:sz w:val="24"/>
          <w:highlight w:val="none"/>
          <w14:textFill>
            <w14:solidFill>
              <w14:schemeClr w14:val="tx1"/>
            </w14:solidFill>
          </w14:textFill>
        </w:rPr>
      </w:pPr>
      <w:bookmarkStart w:id="1665" w:name="_Toc339020106"/>
      <w:bookmarkStart w:id="1666" w:name="_Toc340672880"/>
      <w:bookmarkStart w:id="1667" w:name="_Toc340677081"/>
      <w:bookmarkStart w:id="1668" w:name="_Toc345513912"/>
      <w:bookmarkStart w:id="1669" w:name="_Toc366072540"/>
      <w:bookmarkStart w:id="1670" w:name="_Toc339020244"/>
      <w:bookmarkStart w:id="1671" w:name="_Toc336681946"/>
      <w:bookmarkStart w:id="1672" w:name="_Toc333237688"/>
      <w:bookmarkStart w:id="1673" w:name="_Toc333237799"/>
      <w:bookmarkStart w:id="1674" w:name="_Toc333238644"/>
      <w:bookmarkStart w:id="1675" w:name="_Toc350438760"/>
      <w:bookmarkStart w:id="1676" w:name="_Toc365985189"/>
      <w:bookmarkStart w:id="1677" w:name="_Toc339019900"/>
      <w:bookmarkStart w:id="1678" w:name="_Toc19555"/>
      <w:bookmarkStart w:id="1679" w:name="_Toc332270357"/>
      <w:bookmarkStart w:id="1680" w:name="_Toc337632369"/>
      <w:bookmarkStart w:id="1681" w:name="_Toc339020026"/>
      <w:bookmarkStart w:id="1682" w:name="_Toc332206719"/>
      <w:bookmarkStart w:id="1683" w:name="_Toc333935357"/>
      <w:bookmarkStart w:id="1684" w:name="_Toc365967083"/>
      <w:bookmarkStart w:id="1685" w:name="_Toc342060385"/>
      <w:bookmarkStart w:id="1686" w:name="_Toc333935698"/>
      <w:bookmarkStart w:id="1687" w:name="_Toc342296771"/>
      <w:bookmarkStart w:id="1688" w:name="_Toc331512909"/>
      <w:bookmarkStart w:id="1689" w:name="_Toc339362311"/>
      <w:bookmarkStart w:id="1690" w:name="_Toc330459996"/>
      <w:bookmarkStart w:id="1691" w:name="_Toc349127637"/>
      <w:bookmarkStart w:id="1692" w:name="_Toc331684049"/>
      <w:bookmarkStart w:id="1693" w:name="_Toc341348349"/>
      <w:bookmarkStart w:id="1694" w:name="_Toc350756461"/>
      <w:bookmarkStart w:id="1695" w:name="_Toc336681591"/>
      <w:bookmarkStart w:id="1696" w:name="_Toc340507453"/>
      <w:bookmarkStart w:id="1697" w:name="_Toc339441098"/>
      <w:bookmarkStart w:id="1698" w:name="_Toc349143600"/>
      <w:bookmarkStart w:id="1699" w:name="_Hlk534184453"/>
      <w:r>
        <w:rPr>
          <w:rFonts w:hint="eastAsia"/>
          <w:color w:val="000000" w:themeColor="text1"/>
          <w:sz w:val="24"/>
          <w:highlight w:val="none"/>
          <w14:textFill>
            <w14:solidFill>
              <w14:schemeClr w14:val="tx1"/>
            </w14:solidFill>
          </w14:textFill>
        </w:rPr>
        <w:t>资格审查封面格式</w:t>
      </w:r>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p>
    <w:p>
      <w:pPr>
        <w:pStyle w:val="4"/>
        <w:rPr>
          <w:rFonts w:hAnsi="宋体"/>
          <w:bCs/>
          <w:color w:val="000000" w:themeColor="text1"/>
          <w:sz w:val="21"/>
          <w:highlight w:val="none"/>
          <w14:textFill>
            <w14:solidFill>
              <w14:schemeClr w14:val="tx1"/>
            </w14:solidFill>
          </w14:textFill>
        </w:rPr>
      </w:pPr>
    </w:p>
    <w:p>
      <w:pPr>
        <w:pStyle w:val="4"/>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4"/>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4"/>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3"/>
        <w:numPr>
          <w:ilvl w:val="7"/>
          <w:numId w:val="7"/>
        </w:numPr>
        <w:tabs>
          <w:tab w:val="clear" w:pos="720"/>
        </w:tabs>
        <w:spacing w:before="240" w:after="240" w:line="360" w:lineRule="exact"/>
        <w:ind w:left="0" w:firstLine="0"/>
        <w:rPr>
          <w:color w:val="000000" w:themeColor="text1"/>
          <w:sz w:val="24"/>
          <w:highlight w:val="none"/>
          <w14:textFill>
            <w14:solidFill>
              <w14:schemeClr w14:val="tx1"/>
            </w14:solidFill>
          </w14:textFill>
        </w:rPr>
      </w:pPr>
      <w:bookmarkStart w:id="1700" w:name="_Toc30307"/>
      <w:bookmarkStart w:id="1701" w:name="_Toc272497428"/>
      <w:bookmarkStart w:id="1702" w:name="_Toc268004451"/>
      <w:r>
        <w:rPr>
          <w:rFonts w:hint="eastAsia"/>
          <w:color w:val="000000" w:themeColor="text1"/>
          <w:sz w:val="24"/>
          <w:highlight w:val="none"/>
          <w14:textFill>
            <w14:solidFill>
              <w14:schemeClr w14:val="tx1"/>
            </w14:solidFill>
          </w14:textFill>
        </w:rPr>
        <w:t xml:space="preserve">  </w:t>
      </w:r>
      <w:bookmarkStart w:id="1703" w:name="_Toc27710"/>
      <w:r>
        <w:rPr>
          <w:rFonts w:hint="eastAsia"/>
          <w:color w:val="000000" w:themeColor="text1"/>
          <w:sz w:val="24"/>
          <w:highlight w:val="none"/>
          <w14:textFill>
            <w14:solidFill>
              <w14:schemeClr w14:val="tx1"/>
            </w14:solidFill>
          </w14:textFill>
        </w:rPr>
        <w:t>自查表</w:t>
      </w:r>
      <w:bookmarkEnd w:id="1700"/>
      <w:bookmarkEnd w:id="1703"/>
    </w:p>
    <w:bookmarkEnd w:id="1701"/>
    <w:bookmarkEnd w:id="1702"/>
    <w:p>
      <w:pPr>
        <w:pStyle w:val="3"/>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r>
        <w:rPr>
          <w:rFonts w:hint="eastAsia" w:ascii="宋体"/>
          <w:b/>
          <w:bCs w:val="0"/>
          <w:color w:val="000000" w:themeColor="text1"/>
          <w:szCs w:val="21"/>
          <w:highlight w:val="none"/>
          <w14:textFill>
            <w14:solidFill>
              <w14:schemeClr w14:val="tx1"/>
            </w14:solidFill>
          </w14:textFill>
        </w:rPr>
        <w:t xml:space="preserve"> </w:t>
      </w:r>
      <w:bookmarkStart w:id="1704" w:name="_Toc22196"/>
      <w:r>
        <w:rPr>
          <w:rFonts w:hint="eastAsia" w:ascii="宋体"/>
          <w:b/>
          <w:bCs w:val="0"/>
          <w:color w:val="000000" w:themeColor="text1"/>
          <w:szCs w:val="21"/>
          <w:highlight w:val="none"/>
          <w14:textFill>
            <w14:solidFill>
              <w14:schemeClr w14:val="tx1"/>
            </w14:solidFill>
          </w14:textFill>
        </w:rPr>
        <w:t>资格性自查表</w:t>
      </w:r>
      <w:bookmarkEnd w:id="1704"/>
    </w:p>
    <w:p>
      <w:pPr>
        <w:jc w:val="center"/>
        <w:rPr>
          <w:rFonts w:ascii="宋体" w:hAnsi="宋体"/>
          <w:b/>
          <w:bCs/>
          <w:color w:val="000000" w:themeColor="text1"/>
          <w:szCs w:val="21"/>
          <w:highlight w:val="none"/>
          <w14:textFill>
            <w14:solidFill>
              <w14:schemeClr w14:val="tx1"/>
            </w14:solidFill>
          </w14:textFill>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00"/>
        <w:gridCol w:w="3140"/>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92"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3140"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jc w:val="center"/>
        </w:trPr>
        <w:tc>
          <w:tcPr>
            <w:tcW w:w="992" w:type="dxa"/>
            <w:vMerge w:val="restart"/>
            <w:vAlign w:val="center"/>
          </w:tcPr>
          <w:p>
            <w:pPr>
              <w:bidi w:val="0"/>
              <w:rPr>
                <w:rFonts w:ascii="宋体" w:hAnsi="宋体"/>
                <w:b/>
                <w:bCs/>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资格性检查</w:t>
            </w:r>
          </w:p>
        </w:tc>
        <w:tc>
          <w:tcPr>
            <w:tcW w:w="1500" w:type="dxa"/>
            <w:vMerge w:val="restart"/>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投标人资格要求</w:t>
            </w:r>
          </w:p>
        </w:tc>
        <w:tc>
          <w:tcPr>
            <w:tcW w:w="314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992" w:type="dxa"/>
            <w:vMerge w:val="continue"/>
            <w:vAlign w:val="center"/>
          </w:tcPr>
          <w:p>
            <w:pPr>
              <w:tabs>
                <w:tab w:val="left" w:pos="480"/>
              </w:tabs>
              <w:ind w:left="480" w:hanging="480"/>
              <w:rPr>
                <w:rFonts w:hint="eastAsia" w:ascii="宋体" w:hAnsi="宋体"/>
                <w:color w:val="000000" w:themeColor="text1"/>
                <w:szCs w:val="21"/>
                <w:highlight w:val="none"/>
                <w14:textFill>
                  <w14:solidFill>
                    <w14:schemeClr w14:val="tx1"/>
                  </w14:solidFill>
                </w14:textFill>
              </w:rPr>
            </w:pPr>
          </w:p>
        </w:tc>
        <w:tc>
          <w:tcPr>
            <w:tcW w:w="1500" w:type="dxa"/>
            <w:vMerge w:val="continue"/>
            <w:vAlign w:val="center"/>
          </w:tcPr>
          <w:p>
            <w:pPr>
              <w:tabs>
                <w:tab w:val="left" w:pos="146"/>
              </w:tabs>
              <w:ind w:left="146"/>
              <w:rPr>
                <w:rFonts w:hint="eastAsia" w:ascii="宋体" w:hAnsi="宋体"/>
                <w:color w:val="000000" w:themeColor="text1"/>
                <w:szCs w:val="21"/>
                <w:highlight w:val="none"/>
                <w14:textFill>
                  <w14:solidFill>
                    <w14:schemeClr w14:val="tx1"/>
                  </w14:solidFill>
                </w14:textFill>
              </w:rPr>
            </w:pPr>
          </w:p>
        </w:tc>
        <w:tc>
          <w:tcPr>
            <w:tcW w:w="3140"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为采购项目提供整体设计、规范编制或者项目管理、监理、检测等服务的供应商，不得再参加该采购项目的其他采购活动；（提供《投标函》承诺）</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992"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500"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314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单位负责人为同一人或者存在直接控股、管理关系的不同供应商，不得参加同一合同项下的政府采购活动；（提供《投标函》承诺）</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992"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500"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3140" w:type="dxa"/>
            <w:vAlign w:val="center"/>
          </w:tcPr>
          <w:p>
            <w:pPr>
              <w:tabs>
                <w:tab w:val="left" w:pos="0"/>
              </w:tabs>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投标人需提供相关证明资料）。</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992"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5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3140"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adjustRightInd w:val="0"/>
        <w:snapToGrid w:val="0"/>
        <w:spacing w:line="300" w:lineRule="auto"/>
        <w:rPr>
          <w:color w:val="000000" w:themeColor="text1"/>
          <w:sz w:val="24"/>
          <w:highlight w:val="none"/>
          <w14:textFill>
            <w14:solidFill>
              <w14:schemeClr w14:val="tx1"/>
            </w14:solidFill>
          </w14:textFill>
        </w:rPr>
      </w:pPr>
    </w:p>
    <w:p>
      <w:pPr>
        <w:adjustRightInd w:val="0"/>
        <w:snapToGrid w:val="0"/>
        <w:spacing w:line="300" w:lineRule="auto"/>
        <w:rPr>
          <w:color w:val="000000" w:themeColor="text1"/>
          <w:sz w:val="24"/>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p>
    <w:bookmarkEnd w:id="1345"/>
    <w:bookmarkEnd w:id="1346"/>
    <w:bookmarkEnd w:id="1347"/>
    <w:bookmarkEnd w:id="1348"/>
    <w:bookmarkEnd w:id="1349"/>
    <w:p>
      <w:pPr>
        <w:pStyle w:val="3"/>
        <w:numPr>
          <w:ilvl w:val="0"/>
          <w:numId w:val="0"/>
        </w:numPr>
        <w:rPr>
          <w:color w:val="000000" w:themeColor="text1"/>
          <w:highlight w:val="none"/>
          <w14:textFill>
            <w14:solidFill>
              <w14:schemeClr w14:val="tx1"/>
            </w14:solidFill>
          </w14:textFill>
        </w:rPr>
      </w:pPr>
      <w:bookmarkStart w:id="1705" w:name="_Toc24815"/>
      <w:bookmarkStart w:id="1706" w:name="_Toc399684363"/>
      <w:bookmarkStart w:id="1707" w:name="_Toc399147593"/>
      <w:bookmarkStart w:id="1708" w:name="_Toc382404102"/>
      <w:bookmarkStart w:id="1709" w:name="_Toc339441100"/>
      <w:bookmarkStart w:id="1710" w:name="_Toc342312456"/>
      <w:bookmarkStart w:id="1711" w:name="_Toc333935700"/>
      <w:bookmarkStart w:id="1712" w:name="_Toc340507455"/>
      <w:bookmarkStart w:id="1713" w:name="_Toc333237691"/>
      <w:bookmarkStart w:id="1714" w:name="_Toc331684055"/>
      <w:bookmarkStart w:id="1715" w:name="_Toc331512914"/>
      <w:bookmarkStart w:id="1716" w:name="_Toc337632371"/>
      <w:bookmarkStart w:id="1717" w:name="_Toc345312610"/>
      <w:bookmarkStart w:id="1718" w:name="_Toc340677083"/>
      <w:bookmarkStart w:id="1719" w:name="_Toc339362313"/>
      <w:bookmarkStart w:id="1720" w:name="_Toc343248431"/>
      <w:bookmarkStart w:id="1721" w:name="_Toc365967085"/>
      <w:bookmarkStart w:id="1722" w:name="_Toc333237802"/>
      <w:bookmarkStart w:id="1723" w:name="_Toc336681593"/>
      <w:bookmarkStart w:id="1724" w:name="_Toc333238647"/>
      <w:bookmarkStart w:id="1725" w:name="_Toc339020108"/>
      <w:bookmarkStart w:id="1726" w:name="_Toc342398143"/>
      <w:bookmarkStart w:id="1727" w:name="_Toc342060388"/>
      <w:bookmarkStart w:id="1728" w:name="_Toc339019902"/>
      <w:bookmarkStart w:id="1729" w:name="_Toc339020246"/>
      <w:bookmarkStart w:id="1730" w:name="_Toc332270360"/>
      <w:bookmarkStart w:id="1731" w:name="_Toc339020028"/>
      <w:bookmarkStart w:id="1732" w:name="_Toc365985191"/>
      <w:bookmarkStart w:id="1733" w:name="_Toc343247113"/>
      <w:bookmarkStart w:id="1734" w:name="_Toc340672882"/>
      <w:bookmarkStart w:id="1735" w:name="_Toc333935359"/>
      <w:bookmarkStart w:id="1736" w:name="_Toc366072542"/>
      <w:bookmarkStart w:id="1737" w:name="_Toc342296774"/>
      <w:bookmarkStart w:id="1738" w:name="_Toc332206722"/>
      <w:bookmarkStart w:id="1739" w:name="_Toc350756463"/>
      <w:bookmarkStart w:id="1740" w:name="_Toc330459999"/>
      <w:bookmarkStart w:id="1741" w:name="_Toc343612933"/>
      <w:bookmarkStart w:id="1742" w:name="_Toc350438762"/>
      <w:bookmarkStart w:id="1743" w:name="_Toc336681948"/>
      <w:bookmarkStart w:id="1744" w:name="_Toc341348353"/>
      <w:bookmarkStart w:id="1745" w:name="_Toc454701405"/>
      <w:bookmarkStart w:id="1746" w:name="_Toc468157564"/>
      <w:bookmarkStart w:id="1747" w:name="_Toc467236768"/>
      <w:bookmarkStart w:id="1748" w:name="_Toc468606057"/>
      <w:bookmarkStart w:id="1749" w:name="_Toc458262638"/>
      <w:bookmarkStart w:id="1750" w:name="_Toc6397150"/>
      <w:bookmarkStart w:id="1751" w:name="_Toc6727971"/>
      <w:bookmarkStart w:id="1752" w:name="_Toc480020285"/>
      <w:bookmarkStart w:id="1753" w:name="_Toc479991610"/>
      <w:bookmarkStart w:id="1754" w:name="_Toc491658679"/>
      <w:bookmarkStart w:id="1755" w:name="_Toc480010736"/>
      <w:bookmarkStart w:id="1756" w:name="_Toc480021081"/>
      <w:bookmarkStart w:id="1757" w:name="_Toc467987851"/>
      <w:bookmarkStart w:id="1758" w:name="_Toc500861026"/>
      <w:r>
        <w:rPr>
          <w:rFonts w:hint="eastAsia"/>
          <w:color w:val="000000" w:themeColor="text1"/>
          <w:highlight w:val="none"/>
          <w14:textFill>
            <w14:solidFill>
              <w14:schemeClr w14:val="tx1"/>
            </w14:solidFill>
          </w14:textFill>
        </w:rPr>
        <w:t>（一）资格审查文件要求提交的有效证明文件</w:t>
      </w:r>
      <w:bookmarkEnd w:id="1705"/>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4"/>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bookmarkEnd w:id="1706"/>
    <w:bookmarkEnd w:id="1707"/>
    <w:p>
      <w:pPr>
        <w:pStyle w:val="4"/>
        <w:rPr>
          <w:rFonts w:hAnsi="宋体"/>
          <w:bCs/>
          <w:color w:val="000000" w:themeColor="text1"/>
          <w:sz w:val="21"/>
          <w:szCs w:val="21"/>
          <w:highlight w:val="none"/>
          <w14:textFill>
            <w14:solidFill>
              <w14:schemeClr w14:val="tx1"/>
            </w14:solidFill>
          </w14:textFill>
        </w:rPr>
      </w:pPr>
    </w:p>
    <w:p>
      <w:pPr>
        <w:pStyle w:val="4"/>
        <w:rPr>
          <w:rFonts w:hAnsi="宋体"/>
          <w:bCs/>
          <w:color w:val="000000" w:themeColor="text1"/>
          <w:sz w:val="21"/>
          <w:szCs w:val="21"/>
          <w:highlight w:val="none"/>
          <w14:textFill>
            <w14:solidFill>
              <w14:schemeClr w14:val="tx1"/>
            </w14:solidFill>
          </w14:textFill>
        </w:rPr>
      </w:pPr>
    </w:p>
    <w:p>
      <w:pPr>
        <w:pStyle w:val="4"/>
        <w:rPr>
          <w:rFonts w:hAnsi="宋体"/>
          <w:bCs/>
          <w:color w:val="000000" w:themeColor="text1"/>
          <w:sz w:val="21"/>
          <w:szCs w:val="21"/>
          <w:highlight w:val="none"/>
          <w14:textFill>
            <w14:solidFill>
              <w14:schemeClr w14:val="tx1"/>
            </w14:solidFill>
          </w14:textFill>
        </w:rPr>
      </w:pPr>
    </w:p>
    <w:p>
      <w:pPr>
        <w:pStyle w:val="4"/>
        <w:rPr>
          <w:rFonts w:hAnsi="宋体"/>
          <w:bCs/>
          <w:color w:val="000000" w:themeColor="text1"/>
          <w:sz w:val="21"/>
          <w:szCs w:val="21"/>
          <w:highlight w:val="none"/>
          <w14:textFill>
            <w14:solidFill>
              <w14:schemeClr w14:val="tx1"/>
            </w14:solidFill>
          </w14:textFill>
        </w:rPr>
      </w:pPr>
    </w:p>
    <w:p>
      <w:pPr>
        <w:pStyle w:val="4"/>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4"/>
        <w:rPr>
          <w:rFonts w:hAnsi="宋体"/>
          <w:color w:val="000000" w:themeColor="text1"/>
          <w:szCs w:val="21"/>
          <w:highlight w:val="none"/>
          <w14:textFill>
            <w14:solidFill>
              <w14:schemeClr w14:val="tx1"/>
            </w14:solidFill>
          </w14:textFill>
        </w:rPr>
      </w:pPr>
    </w:p>
    <w:p>
      <w:pPr>
        <w:pStyle w:val="3"/>
        <w:numPr>
          <w:ilvl w:val="0"/>
          <w:numId w:val="0"/>
        </w:numPr>
        <w:rPr>
          <w:rFonts w:hAnsi="黑体"/>
          <w:color w:val="000000" w:themeColor="text1"/>
          <w:szCs w:val="21"/>
          <w:highlight w:val="none"/>
          <w14:textFill>
            <w14:solidFill>
              <w14:schemeClr w14:val="tx1"/>
            </w14:solidFill>
          </w14:textFill>
        </w:rPr>
      </w:pPr>
      <w:bookmarkStart w:id="1759" w:name="_Toc11864"/>
      <w:r>
        <w:rPr>
          <w:rFonts w:hint="eastAsia" w:hAnsi="黑体"/>
          <w:color w:val="000000" w:themeColor="text1"/>
          <w:szCs w:val="21"/>
          <w:highlight w:val="none"/>
          <w14:textFill>
            <w14:solidFill>
              <w14:schemeClr w14:val="tx1"/>
            </w14:solidFill>
          </w14:textFill>
        </w:rPr>
        <w:t>（二）无重大违法记录声明函</w:t>
      </w:r>
      <w:bookmarkEnd w:id="1708"/>
      <w:bookmarkEnd w:id="1759"/>
    </w:p>
    <w:p>
      <w:pPr>
        <w:pStyle w:val="4"/>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致广东业信采购招标有限公司：</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firstLine="0"/>
        <w:rPr>
          <w:color w:val="000000" w:themeColor="text1"/>
          <w:highlight w:val="none"/>
          <w14:textFill>
            <w14:solidFill>
              <w14:schemeClr w14:val="tx1"/>
            </w14:solidFill>
          </w14:textFill>
        </w:rPr>
      </w:pPr>
    </w:p>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3"/>
        <w:numPr>
          <w:ilvl w:val="7"/>
          <w:numId w:val="7"/>
        </w:numPr>
        <w:tabs>
          <w:tab w:val="clear" w:pos="720"/>
        </w:tabs>
        <w:ind w:left="720"/>
        <w:rPr>
          <w:color w:val="000000" w:themeColor="text1"/>
          <w:highlight w:val="none"/>
          <w14:textFill>
            <w14:solidFill>
              <w14:schemeClr w14:val="tx1"/>
            </w14:solidFill>
          </w14:textFill>
        </w:rPr>
      </w:pPr>
      <w:bookmarkStart w:id="1760" w:name="_Toc331684062"/>
      <w:bookmarkStart w:id="1761" w:name="_Toc332206729"/>
      <w:bookmarkStart w:id="1762" w:name="_Toc366072549"/>
      <w:bookmarkStart w:id="1763" w:name="_Toc339441107"/>
      <w:bookmarkStart w:id="1764" w:name="_Toc339020115"/>
      <w:bookmarkStart w:id="1765" w:name="_Toc337632378"/>
      <w:bookmarkStart w:id="1766" w:name="_Toc26374"/>
      <w:bookmarkStart w:id="1767" w:name="_Toc343612940"/>
      <w:bookmarkStart w:id="1768" w:name="_Toc332270367"/>
      <w:bookmarkStart w:id="1769" w:name="_Toc340507462"/>
      <w:bookmarkStart w:id="1770" w:name="_Toc350756470"/>
      <w:bookmarkStart w:id="1771" w:name="_Toc345312617"/>
      <w:bookmarkStart w:id="1772" w:name="_Toc331512921"/>
      <w:bookmarkStart w:id="1773" w:name="_Toc342398150"/>
      <w:bookmarkStart w:id="1774" w:name="_Toc343247120"/>
      <w:bookmarkStart w:id="1775" w:name="_Toc333237809"/>
      <w:bookmarkStart w:id="1776" w:name="_Toc365985198"/>
      <w:bookmarkStart w:id="1777" w:name="_Toc339362320"/>
      <w:bookmarkStart w:id="1778" w:name="_Toc343248438"/>
      <w:bookmarkStart w:id="1779" w:name="_Toc339020253"/>
      <w:bookmarkStart w:id="1780" w:name="_Toc340672889"/>
      <w:bookmarkStart w:id="1781" w:name="_Toc342060395"/>
      <w:bookmarkStart w:id="1782" w:name="_Toc336681955"/>
      <w:bookmarkStart w:id="1783" w:name="_Toc340677090"/>
      <w:bookmarkStart w:id="1784" w:name="_Toc330460006"/>
      <w:bookmarkStart w:id="1785" w:name="_Toc350438769"/>
      <w:bookmarkStart w:id="1786" w:name="_Toc342312463"/>
      <w:bookmarkStart w:id="1787" w:name="_Toc333935366"/>
      <w:bookmarkStart w:id="1788" w:name="_Toc333935707"/>
      <w:bookmarkStart w:id="1789" w:name="_Toc341348360"/>
      <w:bookmarkStart w:id="1790" w:name="_Toc365967092"/>
      <w:bookmarkStart w:id="1791" w:name="_Toc339019909"/>
      <w:bookmarkStart w:id="1792" w:name="_Toc339020035"/>
      <w:bookmarkStart w:id="1793" w:name="_Toc333238654"/>
      <w:bookmarkStart w:id="1794" w:name="_Toc333237698"/>
      <w:bookmarkStart w:id="1795" w:name="_Toc336681600"/>
      <w:bookmarkStart w:id="1796" w:name="_Toc342296781"/>
      <w:r>
        <w:rPr>
          <w:rFonts w:hint="eastAsia"/>
          <w:color w:val="000000" w:themeColor="text1"/>
          <w:highlight w:val="none"/>
          <w14:textFill>
            <w14:solidFill>
              <w14:schemeClr w14:val="tx1"/>
            </w14:solidFill>
          </w14:textFill>
        </w:rPr>
        <w:t>投标文件商务及技术部分</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p>
    <w:p>
      <w:pPr>
        <w:pStyle w:val="3"/>
        <w:numPr>
          <w:ilvl w:val="0"/>
          <w:numId w:val="0"/>
        </w:numPr>
        <w:rPr>
          <w:color w:val="000000" w:themeColor="text1"/>
          <w:sz w:val="24"/>
          <w:highlight w:val="none"/>
          <w14:textFill>
            <w14:solidFill>
              <w14:schemeClr w14:val="tx1"/>
            </w14:solidFill>
          </w14:textFill>
        </w:rPr>
      </w:pPr>
      <w:bookmarkStart w:id="1797" w:name="_Toc27311"/>
      <w:r>
        <w:rPr>
          <w:rFonts w:hint="eastAsia"/>
          <w:color w:val="000000" w:themeColor="text1"/>
          <w:sz w:val="24"/>
          <w:highlight w:val="none"/>
          <w14:textFill>
            <w14:solidFill>
              <w14:schemeClr w14:val="tx1"/>
            </w14:solidFill>
          </w14:textFill>
        </w:rPr>
        <w:t>商务及技术封面格式</w:t>
      </w:r>
      <w:bookmarkEnd w:id="1797"/>
    </w:p>
    <w:p>
      <w:pPr>
        <w:pStyle w:val="4"/>
        <w:rPr>
          <w:rFonts w:hAnsi="宋体"/>
          <w:bCs/>
          <w:color w:val="000000" w:themeColor="text1"/>
          <w:sz w:val="21"/>
          <w:highlight w:val="none"/>
          <w14:textFill>
            <w14:solidFill>
              <w14:schemeClr w14:val="tx1"/>
            </w14:solidFill>
          </w14:textFill>
        </w:rPr>
      </w:pPr>
    </w:p>
    <w:p>
      <w:pPr>
        <w:pStyle w:val="4"/>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、投标内容应当编目录、页码，按页码排序并装订成册。   </w:t>
      </w:r>
    </w:p>
    <w:p>
      <w:pPr>
        <w:pStyle w:val="4"/>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4"/>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360" w:lineRule="auto"/>
        <w:jc w:val="center"/>
        <w:rPr>
          <w:rFonts w:hAnsi="宋体"/>
          <w:bCs/>
          <w:color w:val="000000" w:themeColor="text1"/>
          <w:sz w:val="52"/>
          <w:szCs w:val="52"/>
          <w:highlight w:val="none"/>
          <w14:textFill>
            <w14:solidFill>
              <w14:schemeClr w14:val="tx1"/>
            </w14:solidFill>
          </w14:textFill>
        </w:rPr>
      </w:pPr>
    </w:p>
    <w:p>
      <w:pPr>
        <w:pStyle w:val="4"/>
        <w:spacing w:line="440" w:lineRule="exact"/>
        <w:jc w:val="center"/>
        <w:rPr>
          <w:rFonts w:hAnsi="宋体"/>
          <w:bCs/>
          <w:color w:val="000000" w:themeColor="text1"/>
          <w:sz w:val="21"/>
          <w:highlight w:val="none"/>
          <w14:textFill>
            <w14:solidFill>
              <w14:schemeClr w14:val="tx1"/>
            </w14:solidFill>
          </w14:textFill>
        </w:rPr>
      </w:pPr>
    </w:p>
    <w:p>
      <w:pPr>
        <w:pStyle w:val="4"/>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4"/>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3"/>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798" w:name="_Toc25927"/>
      <w:r>
        <w:rPr>
          <w:rFonts w:hint="eastAsia" w:ascii="宋体"/>
          <w:b/>
          <w:bCs w:val="0"/>
          <w:color w:val="000000" w:themeColor="text1"/>
          <w:szCs w:val="21"/>
          <w:highlight w:val="none"/>
          <w14:textFill>
            <w14:solidFill>
              <w14:schemeClr w14:val="tx1"/>
            </w14:solidFill>
          </w14:textFill>
        </w:rPr>
        <w:t>符合性自查表</w:t>
      </w:r>
      <w:bookmarkEnd w:id="1798"/>
    </w:p>
    <w:p>
      <w:pPr>
        <w:jc w:val="center"/>
        <w:rPr>
          <w:rFonts w:ascii="宋体" w:hAnsi="宋体"/>
          <w:b/>
          <w:bCs/>
          <w:color w:val="000000" w:themeColor="text1"/>
          <w:szCs w:val="21"/>
          <w:highlight w:val="none"/>
          <w14:textFill>
            <w14:solidFill>
              <w14:schemeClr w14:val="tx1"/>
            </w14:solidFill>
          </w14:textFill>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完工期</w:t>
            </w:r>
            <w:r>
              <w:rPr>
                <w:rFonts w:hint="eastAsia" w:ascii="宋体" w:hAnsi="宋体"/>
                <w:color w:val="000000" w:themeColor="text1"/>
                <w:szCs w:val="21"/>
                <w:highlight w:val="none"/>
                <w14:textFill>
                  <w14:solidFill>
                    <w14:schemeClr w14:val="tx1"/>
                  </w14:solidFill>
                </w14:textFill>
              </w:rPr>
              <w:t>须满足要求</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8"/>
              <w:rPr>
                <w:rFonts w:ascii="宋体" w:hAnsi="宋体"/>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color w:val="000000" w:themeColor="text1"/>
          <w:sz w:val="24"/>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3"/>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r>
        <w:rPr>
          <w:rFonts w:ascii="宋体"/>
          <w:b/>
          <w:bCs w:val="0"/>
          <w:color w:val="000000" w:themeColor="text1"/>
          <w:szCs w:val="21"/>
          <w:highlight w:val="none"/>
          <w14:textFill>
            <w14:solidFill>
              <w14:schemeClr w14:val="tx1"/>
            </w14:solidFill>
          </w14:textFill>
        </w:rPr>
        <w:t xml:space="preserve">  </w:t>
      </w:r>
      <w:r>
        <w:rPr>
          <w:rFonts w:hint="eastAsia" w:ascii="宋体"/>
          <w:b/>
          <w:color w:val="000000" w:themeColor="text1"/>
          <w:szCs w:val="21"/>
          <w:highlight w:val="none"/>
          <w14:textFill>
            <w14:solidFill>
              <w14:schemeClr w14:val="tx1"/>
            </w14:solidFill>
          </w14:textFill>
        </w:rPr>
        <w:t xml:space="preserve"> </w:t>
      </w:r>
      <w:bookmarkStart w:id="1799" w:name="_Toc30899"/>
      <w:r>
        <w:rPr>
          <w:rFonts w:hint="eastAsia" w:ascii="宋体"/>
          <w:b/>
          <w:color w:val="000000" w:themeColor="text1"/>
          <w:szCs w:val="21"/>
          <w:highlight w:val="none"/>
          <w14:textFill>
            <w14:solidFill>
              <w14:schemeClr w14:val="tx1"/>
            </w14:solidFill>
          </w14:textFill>
        </w:rPr>
        <w:t>评审项目投标资料表</w:t>
      </w:r>
      <w:bookmarkEnd w:id="1799"/>
    </w:p>
    <w:p>
      <w:pPr>
        <w:jc w:val="center"/>
        <w:rPr>
          <w:rFonts w:ascii="宋体" w:hAnsi="宋体" w:eastAsia="黑体"/>
          <w:b/>
          <w:color w:val="000000" w:themeColor="text1"/>
          <w:kern w:val="44"/>
          <w:szCs w:val="21"/>
          <w:highlight w:val="none"/>
          <w14:textFill>
            <w14:solidFill>
              <w14:schemeClr w14:val="tx1"/>
            </w14:solidFill>
          </w14:textFill>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55"/>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ind w:firstLine="0"/>
        <w:rPr>
          <w:color w:val="000000" w:themeColor="text1"/>
          <w:highlight w:val="none"/>
          <w14:textFill>
            <w14:solidFill>
              <w14:schemeClr w14:val="tx1"/>
            </w14:solidFill>
          </w14:textFill>
        </w:rPr>
      </w:pPr>
    </w:p>
    <w:p>
      <w:pPr>
        <w:pStyle w:val="3"/>
        <w:numPr>
          <w:ilvl w:val="0"/>
          <w:numId w:val="0"/>
        </w:numPr>
        <w:rPr>
          <w:color w:val="000000" w:themeColor="text1"/>
          <w:highlight w:val="none"/>
          <w14:textFill>
            <w14:solidFill>
              <w14:schemeClr w14:val="tx1"/>
            </w14:solidFill>
          </w14:textFill>
        </w:rPr>
      </w:pPr>
      <w:bookmarkStart w:id="1800" w:name="_Toc14597"/>
      <w:bookmarkStart w:id="1801" w:name="_Toc382404103"/>
      <w:r>
        <w:rPr>
          <w:rFonts w:hint="eastAsia"/>
          <w:color w:val="000000" w:themeColor="text1"/>
          <w:highlight w:val="none"/>
          <w14:textFill>
            <w14:solidFill>
              <w14:schemeClr w14:val="tx1"/>
            </w14:solidFill>
          </w14:textFill>
        </w:rPr>
        <w:t>（一）法定代表人（负责人）证明书</w:t>
      </w:r>
      <w:bookmarkEnd w:id="1800"/>
      <w:bookmarkEnd w:id="1801"/>
    </w:p>
    <w:p>
      <w:pPr>
        <w:pStyle w:val="4"/>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4"/>
        <w:rPr>
          <w:rFonts w:hAnsi="宋体"/>
          <w:color w:val="000000" w:themeColor="text1"/>
          <w:sz w:val="21"/>
          <w:highlight w:val="none"/>
          <w14:textFill>
            <w14:solidFill>
              <w14:schemeClr w14:val="tx1"/>
            </w14:solidFill>
          </w14:textFill>
        </w:rPr>
      </w:pPr>
    </w:p>
    <w:p>
      <w:pPr>
        <w:pStyle w:val="4"/>
        <w:rPr>
          <w:color w:val="000000" w:themeColor="text1"/>
          <w:highlight w:val="none"/>
          <w14:textFill>
            <w14:solidFill>
              <w14:schemeClr w14:val="tx1"/>
            </w14:solidFill>
          </w14:textFill>
        </w:rPr>
        <w:sectPr>
          <w:footerReference r:id="rId13" w:type="default"/>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3"/>
        <w:numPr>
          <w:ilvl w:val="0"/>
          <w:numId w:val="0"/>
        </w:numPr>
        <w:rPr>
          <w:color w:val="000000" w:themeColor="text1"/>
          <w:highlight w:val="none"/>
          <w14:textFill>
            <w14:solidFill>
              <w14:schemeClr w14:val="tx1"/>
            </w14:solidFill>
          </w14:textFill>
        </w:rPr>
      </w:pPr>
      <w:bookmarkStart w:id="1802" w:name="_Toc366072543"/>
      <w:bookmarkStart w:id="1803" w:name="_Toc365985192"/>
      <w:bookmarkStart w:id="1804" w:name="_Toc336681594"/>
      <w:bookmarkStart w:id="1805" w:name="_Toc382404104"/>
      <w:bookmarkStart w:id="1806" w:name="_Toc339020029"/>
      <w:bookmarkStart w:id="1807" w:name="_Toc333935360"/>
      <w:bookmarkStart w:id="1808" w:name="_Toc339020247"/>
      <w:bookmarkStart w:id="1809" w:name="_Toc330460000"/>
      <w:bookmarkStart w:id="1810" w:name="_Toc345312611"/>
      <w:bookmarkStart w:id="1811" w:name="_Toc343612934"/>
      <w:bookmarkStart w:id="1812" w:name="_Toc350438763"/>
      <w:bookmarkStart w:id="1813" w:name="_Toc336681949"/>
      <w:bookmarkStart w:id="1814" w:name="_Toc339362314"/>
      <w:bookmarkStart w:id="1815" w:name="_Toc332206723"/>
      <w:bookmarkStart w:id="1816" w:name="_Toc340672883"/>
      <w:bookmarkStart w:id="1817" w:name="_Toc342312457"/>
      <w:bookmarkStart w:id="1818" w:name="_Toc365967086"/>
      <w:bookmarkStart w:id="1819" w:name="_Toc339020109"/>
      <w:bookmarkStart w:id="1820" w:name="_Toc342296775"/>
      <w:bookmarkStart w:id="1821" w:name="_Toc343247114"/>
      <w:bookmarkStart w:id="1822" w:name="_Toc340677084"/>
      <w:bookmarkStart w:id="1823" w:name="_Toc15293"/>
      <w:bookmarkStart w:id="1824" w:name="_Toc332270361"/>
      <w:bookmarkStart w:id="1825" w:name="_Toc333237803"/>
      <w:bookmarkStart w:id="1826" w:name="_Toc337632372"/>
      <w:bookmarkStart w:id="1827" w:name="_Toc350756464"/>
      <w:bookmarkStart w:id="1828" w:name="_Toc333238648"/>
      <w:bookmarkStart w:id="1829" w:name="_Toc331684056"/>
      <w:bookmarkStart w:id="1830" w:name="_Toc333237692"/>
      <w:bookmarkStart w:id="1831" w:name="_Toc333935701"/>
      <w:bookmarkStart w:id="1832" w:name="_Toc339019903"/>
      <w:bookmarkStart w:id="1833" w:name="_Toc341348354"/>
      <w:bookmarkStart w:id="1834" w:name="_Toc343248432"/>
      <w:bookmarkStart w:id="1835" w:name="_Toc342060389"/>
      <w:bookmarkStart w:id="1836" w:name="_Toc342398144"/>
      <w:bookmarkStart w:id="1837" w:name="_Toc331512915"/>
      <w:bookmarkStart w:id="1838" w:name="_Toc340507456"/>
      <w:bookmarkStart w:id="1839" w:name="_Toc339441101"/>
      <w:r>
        <w:rPr>
          <w:rFonts w:hint="eastAsia"/>
          <w:color w:val="000000" w:themeColor="text1"/>
          <w:highlight w:val="none"/>
          <w14:textFill>
            <w14:solidFill>
              <w14:schemeClr w14:val="tx1"/>
            </w14:solidFill>
          </w14:textFill>
        </w:rPr>
        <w:t>（二）法定代表人（负责人）授权书</w:t>
      </w:r>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为我公司代理人，以本公司的名义参加广东业信采购招标有限公司组织的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ind w:firstLine="0"/>
        <w:rPr>
          <w:color w:val="000000" w:themeColor="text1"/>
          <w:highlight w:val="none"/>
          <w14:textFill>
            <w14:solidFill>
              <w14:schemeClr w14:val="tx1"/>
            </w14:solidFill>
          </w14:textFill>
        </w:rPr>
      </w:pPr>
    </w:p>
    <w:bookmarkEnd w:id="1699"/>
    <w:p>
      <w:pPr>
        <w:pStyle w:val="3"/>
        <w:numPr>
          <w:ilvl w:val="0"/>
          <w:numId w:val="0"/>
        </w:numPr>
        <w:rPr>
          <w:color w:val="000000" w:themeColor="text1"/>
          <w:highlight w:val="none"/>
          <w14:textFill>
            <w14:solidFill>
              <w14:schemeClr w14:val="tx1"/>
            </w14:solidFill>
          </w14:textFill>
        </w:rPr>
      </w:pPr>
      <w:bookmarkStart w:id="1840" w:name="_Toc339020036"/>
      <w:bookmarkStart w:id="1841" w:name="_Toc343612941"/>
      <w:bookmarkStart w:id="1842" w:name="_Toc340672890"/>
      <w:bookmarkStart w:id="1843" w:name="_Toc333237699"/>
      <w:bookmarkStart w:id="1844" w:name="_Toc339441108"/>
      <w:bookmarkStart w:id="1845" w:name="_Toc350438770"/>
      <w:bookmarkStart w:id="1846" w:name="_Toc343247121"/>
      <w:bookmarkStart w:id="1847" w:name="_Toc333238655"/>
      <w:bookmarkStart w:id="1848" w:name="_Toc336681601"/>
      <w:bookmarkStart w:id="1849" w:name="_Toc342296782"/>
      <w:bookmarkStart w:id="1850" w:name="_Toc340507463"/>
      <w:bookmarkStart w:id="1851" w:name="_Toc343248439"/>
      <w:bookmarkStart w:id="1852" w:name="_Toc331512922"/>
      <w:bookmarkStart w:id="1853" w:name="_Toc3644"/>
      <w:bookmarkStart w:id="1854" w:name="_Toc366072550"/>
      <w:bookmarkStart w:id="1855" w:name="_Toc350756471"/>
      <w:bookmarkStart w:id="1856" w:name="_Toc365967093"/>
      <w:bookmarkStart w:id="1857" w:name="_Toc336681956"/>
      <w:bookmarkStart w:id="1858" w:name="_Toc341348361"/>
      <w:bookmarkStart w:id="1859" w:name="_Toc332270368"/>
      <w:bookmarkStart w:id="1860" w:name="_Toc332206730"/>
      <w:bookmarkStart w:id="1861" w:name="_Toc365985199"/>
      <w:bookmarkStart w:id="1862" w:name="_Toc339020254"/>
      <w:bookmarkStart w:id="1863" w:name="_Toc345312618"/>
      <w:bookmarkStart w:id="1864" w:name="_Toc342060396"/>
      <w:bookmarkStart w:id="1865" w:name="_Toc339019910"/>
      <w:bookmarkStart w:id="1866" w:name="_Toc331684063"/>
      <w:bookmarkStart w:id="1867" w:name="_Toc333237810"/>
      <w:bookmarkStart w:id="1868" w:name="_Toc333935367"/>
      <w:bookmarkStart w:id="1869" w:name="_Toc339020116"/>
      <w:bookmarkStart w:id="1870" w:name="_Toc340677091"/>
      <w:bookmarkStart w:id="1871" w:name="_Toc337632379"/>
      <w:bookmarkStart w:id="1872" w:name="_Toc342398151"/>
      <w:bookmarkStart w:id="1873" w:name="_Toc342312464"/>
      <w:bookmarkStart w:id="1874" w:name="_Toc330460007"/>
      <w:bookmarkStart w:id="1875" w:name="_Toc339362321"/>
      <w:bookmarkStart w:id="1876" w:name="_Toc333935708"/>
      <w:r>
        <w:rPr>
          <w:rFonts w:hint="eastAsia"/>
          <w:color w:val="000000" w:themeColor="text1"/>
          <w:highlight w:val="none"/>
          <w14:textFill>
            <w14:solidFill>
              <w14:schemeClr w14:val="tx1"/>
            </w14:solidFill>
          </w14:textFill>
        </w:rPr>
        <w:t>附件一：投标</w:t>
      </w:r>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r>
        <w:rPr>
          <w:rFonts w:hint="eastAsia"/>
          <w:color w:val="000000" w:themeColor="text1"/>
          <w:highlight w:val="none"/>
          <w14:textFill>
            <w14:solidFill>
              <w14:schemeClr w14:val="tx1"/>
            </w14:solidFill>
          </w14:textFill>
        </w:rPr>
        <w:t>函</w:t>
      </w:r>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ascii="宋体" w:hAnsi="宋体"/>
          <w:b/>
          <w:bCs/>
          <w:color w:val="000000" w:themeColor="text1"/>
          <w:highlight w:val="none"/>
          <w:u w:val="single"/>
          <w14:textFill>
            <w14:solidFill>
              <w14:schemeClr w14:val="tx1"/>
            </w14:solidFill>
          </w14:textFill>
        </w:rPr>
        <w:t xml:space="preserve">   （</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所附投标价格表中规定的应提交和交付的货物投标总价为人民币：</w:t>
      </w:r>
      <w:r>
        <w:rPr>
          <w:rFonts w:hint="eastAsia" w:ascii="宋体" w:hAnsi="宋体"/>
          <w:color w:val="000000" w:themeColor="text1"/>
          <w:highlight w:val="none"/>
          <w:u w:val="single"/>
          <w14:textFill>
            <w14:solidFill>
              <w14:schemeClr w14:val="tx1"/>
            </w14:solidFill>
          </w14:textFill>
        </w:rPr>
        <w:t xml:space="preserve"> （用文字和数字表示的投标总价）  </w:t>
      </w:r>
      <w:r>
        <w:rPr>
          <w:rFonts w:hint="eastAsia" w:ascii="宋体" w:hAnsi="宋体"/>
          <w:color w:val="000000" w:themeColor="text1"/>
          <w:highlight w:val="none"/>
          <w14:textFill>
            <w14:solidFill>
              <w14:schemeClr w14:val="tx1"/>
            </w14:solidFill>
          </w14:textFill>
        </w:rPr>
        <w:t>。</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为采购项目提供整体设计、规范编制或者项目管理、监理、检测等服务的供应商，不得再参加该采购项目的其他采购活动。</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单位负责人为同一人或者存在直接控股、管理关系的不同供应商，不得参加同一合同项下的政府采购活动。</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4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日期：</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年</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月</w:t>
      </w:r>
      <w:r>
        <w:rPr>
          <w:rFonts w:ascii="宋体" w:hAnsi="宋体"/>
          <w:bCs/>
          <w:color w:val="000000" w:themeColor="text1"/>
          <w:highlight w:val="non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日</w:t>
      </w:r>
      <w:r>
        <w:rPr>
          <w:rFonts w:ascii="宋体" w:hAnsi="宋体"/>
          <w:bCs/>
          <w:color w:val="000000" w:themeColor="text1"/>
          <w:highlight w:val="none"/>
          <w14:textFill>
            <w14:solidFill>
              <w14:schemeClr w14:val="tx1"/>
            </w14:solidFill>
          </w14:textFill>
        </w:rPr>
        <w:t xml:space="preserve">   </w:t>
      </w:r>
    </w:p>
    <w:p>
      <w:pPr>
        <w:pStyle w:val="24"/>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rPr>
          <w:rFonts w:hint="eastAsia"/>
          <w:color w:val="000000" w:themeColor="text1"/>
          <w:highlight w:val="none"/>
          <w14:textFill>
            <w14:solidFill>
              <w14:schemeClr w14:val="tx1"/>
            </w14:solidFill>
          </w14:textFill>
        </w:rPr>
      </w:pPr>
      <w:bookmarkStart w:id="1877" w:name="_Hlt16935467"/>
      <w:bookmarkEnd w:id="1877"/>
      <w:bookmarkStart w:id="1878" w:name="_Toc350756472"/>
      <w:bookmarkStart w:id="1879" w:name="_Toc330460008"/>
      <w:bookmarkStart w:id="1880" w:name="_Toc342296783"/>
      <w:bookmarkStart w:id="1881" w:name="_Toc350438771"/>
      <w:bookmarkStart w:id="1882" w:name="_Toc332270369"/>
      <w:bookmarkStart w:id="1883" w:name="_Toc342060397"/>
      <w:bookmarkStart w:id="1884" w:name="_Toc342398152"/>
      <w:bookmarkStart w:id="1885" w:name="_Toc365985200"/>
      <w:bookmarkStart w:id="1886" w:name="_Toc339441109"/>
      <w:bookmarkStart w:id="1887" w:name="_Toc339020255"/>
      <w:bookmarkStart w:id="1888" w:name="_Toc78816017"/>
      <w:bookmarkStart w:id="1889" w:name="_Toc333238656"/>
      <w:bookmarkStart w:id="1890" w:name="_Toc343247122"/>
      <w:bookmarkStart w:id="1891" w:name="_Toc339020037"/>
      <w:bookmarkStart w:id="1892" w:name="_Toc345312619"/>
      <w:bookmarkStart w:id="1893" w:name="_Toc336681602"/>
      <w:bookmarkStart w:id="1894" w:name="_Toc337632380"/>
      <w:bookmarkStart w:id="1895" w:name="_Toc331512923"/>
      <w:bookmarkStart w:id="1896" w:name="_Toc340677092"/>
      <w:bookmarkStart w:id="1897" w:name="_Toc366072551"/>
      <w:bookmarkStart w:id="1898" w:name="_Toc340672891"/>
      <w:bookmarkStart w:id="1899" w:name="_Toc365967094"/>
      <w:bookmarkStart w:id="1900" w:name="_Toc342312465"/>
      <w:bookmarkStart w:id="1901" w:name="_Toc341348362"/>
      <w:bookmarkStart w:id="1902" w:name="_Toc333237811"/>
      <w:bookmarkStart w:id="1903" w:name="_Toc333935709"/>
      <w:bookmarkStart w:id="1904" w:name="_Toc331684064"/>
      <w:bookmarkStart w:id="1905" w:name="_Toc343248440"/>
      <w:bookmarkStart w:id="1906" w:name="_Toc339020117"/>
      <w:bookmarkStart w:id="1907" w:name="_Toc343612942"/>
      <w:bookmarkStart w:id="1908" w:name="_Toc21947"/>
      <w:bookmarkStart w:id="1909" w:name="_Toc340507464"/>
      <w:bookmarkStart w:id="1910" w:name="_Toc332206731"/>
      <w:bookmarkStart w:id="1911" w:name="_Toc333237700"/>
      <w:bookmarkStart w:id="1912" w:name="_Toc333935368"/>
      <w:bookmarkStart w:id="1913" w:name="_Toc339019911"/>
      <w:bookmarkStart w:id="1914" w:name="_Toc339362322"/>
      <w:bookmarkStart w:id="1915" w:name="_Toc336681957"/>
      <w:r>
        <w:rPr>
          <w:rFonts w:hint="eastAsia"/>
          <w:color w:val="000000" w:themeColor="text1"/>
          <w:highlight w:val="none"/>
          <w14:textFill>
            <w14:solidFill>
              <w14:schemeClr w14:val="tx1"/>
            </w14:solidFill>
          </w14:textFill>
        </w:rPr>
        <w:br w:type="page"/>
      </w:r>
    </w:p>
    <w:p>
      <w:pPr>
        <w:pStyle w:val="3"/>
        <w:numPr>
          <w:ilvl w:val="0"/>
          <w:numId w:val="0"/>
        </w:numPr>
        <w:spacing w:line="40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附件二：开标一览表</w:t>
      </w:r>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bookmarkStart w:id="1916" w:name="_Hlk534184967"/>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bookmarkEnd w:id="1916"/>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2873"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719"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投标总价</w:t>
            </w:r>
          </w:p>
        </w:tc>
        <w:tc>
          <w:tcPr>
            <w:tcW w:w="1673" w:type="dxa"/>
            <w:vAlign w:val="center"/>
          </w:tcPr>
          <w:p>
            <w:pPr>
              <w:jc w:val="center"/>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完工期</w:t>
            </w:r>
          </w:p>
        </w:tc>
        <w:tc>
          <w:tcPr>
            <w:tcW w:w="68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73"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719" w:type="dxa"/>
            <w:vAlign w:val="center"/>
          </w:tcPr>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689"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日期：</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年</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月</w:t>
      </w:r>
      <w:r>
        <w:rPr>
          <w:rFonts w:ascii="宋体" w:hAnsi="宋体"/>
          <w:bCs/>
          <w:color w:val="000000" w:themeColor="text1"/>
          <w:highlight w:val="non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日</w:t>
      </w:r>
      <w:r>
        <w:rPr>
          <w:rFonts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3"/>
        <w:numPr>
          <w:ilvl w:val="0"/>
          <w:numId w:val="0"/>
        </w:numPr>
        <w:spacing w:line="400" w:lineRule="exact"/>
        <w:rPr>
          <w:color w:val="000000" w:themeColor="text1"/>
          <w:highlight w:val="none"/>
          <w14:textFill>
            <w14:solidFill>
              <w14:schemeClr w14:val="tx1"/>
            </w14:solidFill>
          </w14:textFill>
        </w:rPr>
      </w:pPr>
      <w:bookmarkStart w:id="1917" w:name="_Toc350438772"/>
      <w:bookmarkStart w:id="1918" w:name="_Toc331684065"/>
      <w:bookmarkStart w:id="1919" w:name="_Toc336681603"/>
      <w:bookmarkStart w:id="1920" w:name="_Toc340672892"/>
      <w:bookmarkStart w:id="1921" w:name="_Toc340677093"/>
      <w:bookmarkStart w:id="1922" w:name="_Toc343247123"/>
      <w:bookmarkStart w:id="1923" w:name="_Toc333935369"/>
      <w:bookmarkStart w:id="1924" w:name="_Toc345312620"/>
      <w:bookmarkStart w:id="1925" w:name="_Toc365967095"/>
      <w:bookmarkStart w:id="1926" w:name="_Toc333238657"/>
      <w:bookmarkStart w:id="1927" w:name="_Toc333237812"/>
      <w:bookmarkStart w:id="1928" w:name="_Toc333237701"/>
      <w:bookmarkStart w:id="1929" w:name="_Toc365985201"/>
      <w:bookmarkStart w:id="1930" w:name="_Toc330460009"/>
      <w:bookmarkStart w:id="1931" w:name="_Toc331512924"/>
      <w:bookmarkStart w:id="1932" w:name="_Toc333935710"/>
      <w:bookmarkStart w:id="1933" w:name="_Toc332206732"/>
      <w:bookmarkStart w:id="1934" w:name="_Toc339020038"/>
      <w:bookmarkStart w:id="1935" w:name="_Toc342296784"/>
      <w:bookmarkStart w:id="1936" w:name="_Toc350756473"/>
      <w:bookmarkStart w:id="1937" w:name="_Toc336681958"/>
      <w:bookmarkStart w:id="1938" w:name="_Toc5500"/>
      <w:bookmarkStart w:id="1939" w:name="_Toc340507465"/>
      <w:bookmarkStart w:id="1940" w:name="_Toc342060398"/>
      <w:bookmarkStart w:id="1941" w:name="_Toc342312466"/>
      <w:bookmarkStart w:id="1942" w:name="_Toc339362323"/>
      <w:bookmarkStart w:id="1943" w:name="_Toc339441110"/>
      <w:bookmarkStart w:id="1944" w:name="_Toc332270370"/>
      <w:bookmarkStart w:id="1945" w:name="_Toc342398153"/>
      <w:bookmarkStart w:id="1946" w:name="_Toc343248441"/>
      <w:bookmarkStart w:id="1947" w:name="_Toc343612943"/>
      <w:bookmarkStart w:id="1948" w:name="_Toc339020256"/>
      <w:bookmarkStart w:id="1949" w:name="_Toc341348363"/>
      <w:bookmarkStart w:id="1950" w:name="_Toc339019912"/>
      <w:bookmarkStart w:id="1951" w:name="_Toc337632381"/>
      <w:bookmarkStart w:id="1952" w:name="_Toc339020118"/>
      <w:bookmarkStart w:id="1953" w:name="_Toc366072552"/>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p>
    <w:p>
      <w:pPr>
        <w:adjustRightInd w:val="0"/>
        <w:snapToGrid w:val="0"/>
        <w:spacing w:line="360" w:lineRule="auto"/>
        <w:jc w:val="left"/>
        <w:rPr>
          <w:color w:val="000000" w:themeColor="text1"/>
          <w:szCs w:val="18"/>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aps/>
          <w:color w:val="000000" w:themeColor="text1"/>
          <w:highlight w:val="none"/>
          <w14:textFill>
            <w14:solidFill>
              <w14:schemeClr w14:val="tx1"/>
            </w14:solidFill>
          </w14:textFill>
        </w:rPr>
        <w:t xml:space="preserve">                        </w:t>
      </w:r>
      <w:r>
        <w:rPr>
          <w:rFonts w:hint="eastAsia"/>
          <w:color w:val="000000" w:themeColor="text1"/>
          <w:szCs w:val="18"/>
          <w:highlight w:val="none"/>
          <w14:textFill>
            <w14:solidFill>
              <w14:schemeClr w14:val="tx1"/>
            </w14:solidFill>
          </w14:textFill>
        </w:rPr>
        <w:t xml:space="preserve">                     </w:t>
      </w:r>
    </w:p>
    <w:p>
      <w:pPr>
        <w:adjustRightInd w:val="0"/>
        <w:snapToGrid w:val="0"/>
        <w:spacing w:line="360" w:lineRule="auto"/>
        <w:ind w:left="1050" w:hanging="1050" w:hangingChars="500"/>
        <w:jc w:val="left"/>
        <w:rPr>
          <w:color w:val="000000" w:themeColor="text1"/>
          <w:szCs w:val="2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14:textFill>
            <w14:solidFill>
              <w14:schemeClr w14:val="tx1"/>
            </w14:solidFill>
          </w14:textFill>
        </w:rPr>
      </w:pPr>
      <w:r>
        <w:rPr>
          <w:rFonts w:hint="eastAsia" w:ascii="宋体" w:hAnsi="宋体"/>
          <w:b/>
          <w:bCs/>
          <w:caps/>
          <w:color w:val="000000" w:themeColor="text1"/>
          <w:highlight w:val="none"/>
          <w14:textFill>
            <w14:solidFill>
              <w14:schemeClr w14:val="tx1"/>
            </w14:solidFill>
          </w14:textFill>
        </w:rPr>
        <w:t xml:space="preserve">                                     </w:t>
      </w:r>
      <w:r>
        <w:rPr>
          <w:rFonts w:hint="eastAsia"/>
          <w:color w:val="000000" w:themeColor="text1"/>
          <w:szCs w:val="18"/>
          <w:highlight w:val="none"/>
          <w14:textFill>
            <w14:solidFill>
              <w14:schemeClr w14:val="tx1"/>
            </w14:solidFill>
          </w14:textFill>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序号</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内容</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2</w:t>
            </w: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3</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4</w:t>
            </w: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设备名称</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2</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品牌型号及规格</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3</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原产地</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4</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设备单价</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5</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数量</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6</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设备总价</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7</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备品备件价</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8</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附件价</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9</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专用工具价</w:t>
            </w: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10</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运输费、人工费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11</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保险费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12</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安装调试费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13</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技术服务费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14</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税金</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15</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培训费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16</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质量保证期内的服务费用</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17</w:t>
            </w:r>
          </w:p>
        </w:tc>
        <w:tc>
          <w:tcPr>
            <w:tcW w:w="1843" w:type="dxa"/>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其他费用</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18</w:t>
            </w:r>
          </w:p>
        </w:tc>
        <w:tc>
          <w:tcPr>
            <w:tcW w:w="1843" w:type="dxa"/>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投标总价</w:t>
            </w:r>
          </w:p>
        </w:tc>
        <w:tc>
          <w:tcPr>
            <w:tcW w:w="3205" w:type="dxa"/>
            <w:gridSpan w:val="3"/>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（大写）人民币</w:t>
            </w:r>
          </w:p>
        </w:tc>
        <w:tc>
          <w:tcPr>
            <w:tcW w:w="3206" w:type="dxa"/>
            <w:gridSpan w:val="3"/>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19</w:t>
            </w:r>
          </w:p>
        </w:tc>
        <w:tc>
          <w:tcPr>
            <w:tcW w:w="1843" w:type="dxa"/>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备注</w:t>
            </w:r>
          </w:p>
        </w:tc>
        <w:tc>
          <w:tcPr>
            <w:tcW w:w="6411" w:type="dxa"/>
            <w:gridSpan w:val="6"/>
            <w:vAlign w:val="center"/>
          </w:tcPr>
          <w:p>
            <w:pPr>
              <w:pStyle w:val="4"/>
              <w:snapToGrid w:val="0"/>
              <w:ind w:firstLine="0"/>
              <w:jc w:val="center"/>
              <w:rPr>
                <w:rFonts w:hAnsi="宋体" w:cs="宋体"/>
                <w:bCs/>
                <w:color w:val="000000" w:themeColor="text1"/>
                <w:kern w:val="2"/>
                <w:sz w:val="21"/>
                <w:szCs w:val="21"/>
                <w:highlight w:val="none"/>
                <w14:textFill>
                  <w14:solidFill>
                    <w14:schemeClr w14:val="tx1"/>
                  </w14:solidFill>
                </w14:textFill>
              </w:rPr>
            </w:pPr>
          </w:p>
        </w:tc>
      </w:tr>
    </w:tbl>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注：如本表格式内容不能满足需要，投标人可自行划表填写。</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3"/>
        <w:numPr>
          <w:ilvl w:val="0"/>
          <w:numId w:val="0"/>
        </w:numPr>
        <w:spacing w:line="400" w:lineRule="exact"/>
        <w:rPr>
          <w:color w:val="000000" w:themeColor="text1"/>
          <w:highlight w:val="none"/>
          <w14:textFill>
            <w14:solidFill>
              <w14:schemeClr w14:val="tx1"/>
            </w14:solidFill>
          </w14:textFill>
        </w:rPr>
      </w:pPr>
      <w:bookmarkStart w:id="1954" w:name="_Toc330460010"/>
      <w:bookmarkStart w:id="1955" w:name="_Toc336681959"/>
      <w:bookmarkStart w:id="1956" w:name="_Toc333238658"/>
      <w:bookmarkStart w:id="1957" w:name="_Toc343248442"/>
      <w:bookmarkStart w:id="1958" w:name="_Toc337632382"/>
      <w:bookmarkStart w:id="1959" w:name="_Toc342060399"/>
      <w:bookmarkStart w:id="1960" w:name="_Toc339362324"/>
      <w:bookmarkStart w:id="1961" w:name="_Toc365967096"/>
      <w:bookmarkStart w:id="1962" w:name="_Toc331512925"/>
      <w:bookmarkStart w:id="1963" w:name="_Toc342312467"/>
      <w:bookmarkStart w:id="1964" w:name="_Toc331684066"/>
      <w:bookmarkStart w:id="1965" w:name="_Toc339020039"/>
      <w:bookmarkStart w:id="1966" w:name="_Toc340507466"/>
      <w:bookmarkStart w:id="1967" w:name="_Toc339019913"/>
      <w:bookmarkStart w:id="1968" w:name="_Toc339020119"/>
      <w:bookmarkStart w:id="1969" w:name="_Toc350438773"/>
      <w:bookmarkStart w:id="1970" w:name="_Toc341348364"/>
      <w:bookmarkStart w:id="1971" w:name="_Toc345312621"/>
      <w:bookmarkStart w:id="1972" w:name="_Toc339441111"/>
      <w:bookmarkStart w:id="1973" w:name="_Toc333237702"/>
      <w:bookmarkStart w:id="1974" w:name="_Toc342296785"/>
      <w:bookmarkStart w:id="1975" w:name="_Toc366072553"/>
      <w:bookmarkStart w:id="1976" w:name="_Toc342398154"/>
      <w:bookmarkStart w:id="1977" w:name="_Toc333935370"/>
      <w:bookmarkStart w:id="1978" w:name="_Toc332206733"/>
      <w:bookmarkStart w:id="1979" w:name="_Toc333935711"/>
      <w:bookmarkStart w:id="1980" w:name="_Toc333237813"/>
      <w:bookmarkStart w:id="1981" w:name="_Toc343612944"/>
      <w:bookmarkStart w:id="1982" w:name="_Toc365985202"/>
      <w:bookmarkStart w:id="1983" w:name="_Toc23021"/>
      <w:bookmarkStart w:id="1984" w:name="_Toc339020257"/>
      <w:bookmarkStart w:id="1985" w:name="_Toc336681604"/>
      <w:bookmarkStart w:id="1986" w:name="_Toc340672893"/>
      <w:bookmarkStart w:id="1987" w:name="_Toc340677094"/>
      <w:bookmarkStart w:id="1988" w:name="_Toc343247124"/>
      <w:bookmarkStart w:id="1989" w:name="_Toc332270371"/>
      <w:bookmarkStart w:id="1990" w:name="_Toc350756474"/>
      <w:r>
        <w:rPr>
          <w:rFonts w:hint="eastAsia"/>
          <w:color w:val="000000" w:themeColor="text1"/>
          <w:highlight w:val="none"/>
          <w14:textFill>
            <w14:solidFill>
              <w14:schemeClr w14:val="tx1"/>
            </w14:solidFill>
          </w14:textFill>
        </w:rPr>
        <w:t>附件四：商务条款偏离一览表</w:t>
      </w:r>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p>
    <w:p>
      <w:pPr>
        <w:adjustRightInd w:val="0"/>
        <w:snapToGrid w:val="0"/>
        <w:spacing w:line="360" w:lineRule="auto"/>
        <w:jc w:val="left"/>
        <w:rPr>
          <w:rFonts w:ascii="宋体" w:hAnsi="宋体"/>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r>
        <w:rPr>
          <w:rFonts w:hint="eastAsia" w:ascii="宋体" w:hAnsi="宋体"/>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4" w:type="default"/>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p>
    <w:p>
      <w:pPr>
        <w:pStyle w:val="3"/>
        <w:numPr>
          <w:ilvl w:val="0"/>
          <w:numId w:val="0"/>
        </w:numPr>
        <w:spacing w:line="400" w:lineRule="exact"/>
        <w:rPr>
          <w:color w:val="000000" w:themeColor="text1"/>
          <w:highlight w:val="none"/>
          <w14:textFill>
            <w14:solidFill>
              <w14:schemeClr w14:val="tx1"/>
            </w14:solidFill>
          </w14:textFill>
        </w:rPr>
      </w:pPr>
      <w:bookmarkStart w:id="1991" w:name="_Toc28206"/>
      <w:bookmarkStart w:id="1992" w:name="_Toc332270372"/>
      <w:bookmarkStart w:id="1993" w:name="_Toc337632383"/>
      <w:bookmarkStart w:id="1994" w:name="_Toc339020258"/>
      <w:bookmarkStart w:id="1995" w:name="_Toc339441112"/>
      <w:bookmarkStart w:id="1996" w:name="_Toc350756475"/>
      <w:bookmarkStart w:id="1997" w:name="_Toc365967097"/>
      <w:bookmarkStart w:id="1998" w:name="_Toc341348365"/>
      <w:bookmarkStart w:id="1999" w:name="_Toc345312622"/>
      <w:bookmarkStart w:id="2000" w:name="_Toc331512926"/>
      <w:bookmarkStart w:id="2001" w:name="_Toc332206734"/>
      <w:bookmarkStart w:id="2002" w:name="_Toc350438774"/>
      <w:bookmarkStart w:id="2003" w:name="_Toc342060400"/>
      <w:bookmarkStart w:id="2004" w:name="_Toc333238659"/>
      <w:bookmarkStart w:id="2005" w:name="_Toc331684067"/>
      <w:bookmarkStart w:id="2006" w:name="_Toc339362325"/>
      <w:bookmarkStart w:id="2007" w:name="_Toc339020120"/>
      <w:bookmarkStart w:id="2008" w:name="_Toc342398155"/>
      <w:bookmarkStart w:id="2009" w:name="_Toc333935371"/>
      <w:bookmarkStart w:id="2010" w:name="_Toc342312468"/>
      <w:bookmarkStart w:id="2011" w:name="_Toc342296786"/>
      <w:bookmarkStart w:id="2012" w:name="_Toc340672894"/>
      <w:bookmarkStart w:id="2013" w:name="_Toc340507467"/>
      <w:bookmarkStart w:id="2014" w:name="_Toc330460011"/>
      <w:bookmarkStart w:id="2015" w:name="_Toc333237703"/>
      <w:bookmarkStart w:id="2016" w:name="_Toc333935712"/>
      <w:bookmarkStart w:id="2017" w:name="_Toc343612945"/>
      <w:bookmarkStart w:id="2018" w:name="_Toc336681605"/>
      <w:bookmarkStart w:id="2019" w:name="_Toc336681960"/>
      <w:bookmarkStart w:id="2020" w:name="_Toc365985203"/>
      <w:bookmarkStart w:id="2021" w:name="_Toc339020040"/>
      <w:bookmarkStart w:id="2022" w:name="_Toc366072554"/>
      <w:bookmarkStart w:id="2023" w:name="_Toc343248443"/>
      <w:bookmarkStart w:id="2024" w:name="_Toc340677095"/>
      <w:bookmarkStart w:id="2025" w:name="_Toc343247125"/>
      <w:bookmarkStart w:id="2026" w:name="_Toc333237814"/>
      <w:bookmarkStart w:id="2027" w:name="_Toc339019914"/>
      <w:r>
        <w:rPr>
          <w:rFonts w:hint="eastAsia"/>
          <w:color w:val="000000" w:themeColor="text1"/>
          <w:highlight w:val="none"/>
          <w14:textFill>
            <w14:solidFill>
              <w14:schemeClr w14:val="tx1"/>
            </w14:solidFill>
          </w14:textFill>
        </w:rPr>
        <w:t>附件五：技术条款偏离一览表</w:t>
      </w:r>
      <w:bookmarkEnd w:id="1991"/>
    </w:p>
    <w:p>
      <w:pPr>
        <w:adjustRightInd w:val="0"/>
        <w:snapToGrid w:val="0"/>
        <w:spacing w:line="360" w:lineRule="auto"/>
        <w:jc w:val="left"/>
        <w:rPr>
          <w:rFonts w:ascii="宋体" w:hAnsi="宋体"/>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w:t>
      </w:r>
      <w:r>
        <w:rPr>
          <w:rFonts w:hint="eastAsia" w:ascii="宋体" w:hAnsi="宋体"/>
          <w:b/>
          <w:color w:val="000000" w:themeColor="text1"/>
          <w:highlight w:val="none"/>
          <w14:textFill>
            <w14:solidFill>
              <w14:schemeClr w14:val="tx1"/>
            </w14:solidFill>
          </w14:textFill>
        </w:rPr>
        <w:t>表中未列</w:t>
      </w:r>
      <w:r>
        <w:rPr>
          <w:rFonts w:hint="eastAsia" w:ascii="宋体" w:hAnsi="宋体"/>
          <w:b/>
          <w:bCs/>
          <w:color w:val="000000" w:themeColor="text1"/>
          <w:highlight w:val="none"/>
          <w14:textFill>
            <w14:solidFill>
              <w14:schemeClr w14:val="tx1"/>
            </w14:solidFill>
          </w14:textFill>
        </w:rPr>
        <w:t>全</w:t>
      </w:r>
      <w:r>
        <w:rPr>
          <w:rFonts w:hint="eastAsia" w:ascii="宋体" w:hAnsi="宋体"/>
          <w:b/>
          <w:color w:val="000000" w:themeColor="text1"/>
          <w:highlight w:val="none"/>
          <w14:textFill>
            <w14:solidFill>
              <w14:schemeClr w14:val="tx1"/>
            </w14:solidFill>
          </w14:textFill>
        </w:rPr>
        <w:t>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p>
      <w:pPr>
        <w:pStyle w:val="4"/>
        <w:ind w:firstLine="0"/>
        <w:rPr>
          <w:rFonts w:hAnsi="宋体"/>
          <w:color w:val="000000" w:themeColor="text1"/>
          <w:sz w:val="21"/>
          <w:szCs w:val="21"/>
          <w:highlight w:val="none"/>
          <w14:textFill>
            <w14:solidFill>
              <w14:schemeClr w14:val="tx1"/>
            </w14:solidFill>
          </w14:textFill>
        </w:rPr>
        <w:sectPr>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p>
    <w:p>
      <w:pPr>
        <w:pStyle w:val="3"/>
        <w:numPr>
          <w:ilvl w:val="1"/>
          <w:numId w:val="0"/>
        </w:numPr>
        <w:spacing w:line="400" w:lineRule="exact"/>
        <w:rPr>
          <w:color w:val="000000" w:themeColor="text1"/>
          <w:highlight w:val="none"/>
          <w14:textFill>
            <w14:solidFill>
              <w14:schemeClr w14:val="tx1"/>
            </w14:solidFill>
          </w14:textFill>
        </w:rPr>
      </w:pPr>
      <w:bookmarkStart w:id="2028" w:name="_Toc341348369"/>
      <w:bookmarkStart w:id="2029" w:name="_Toc366072561"/>
      <w:bookmarkStart w:id="2030" w:name="_Toc339020124"/>
      <w:bookmarkStart w:id="2031" w:name="_Toc340507471"/>
      <w:bookmarkStart w:id="2032" w:name="_Toc331512930"/>
      <w:bookmarkStart w:id="2033" w:name="_Toc365967104"/>
      <w:bookmarkStart w:id="2034" w:name="_Toc330460015"/>
      <w:bookmarkStart w:id="2035" w:name="_Toc343247129"/>
      <w:bookmarkStart w:id="2036" w:name="_Toc340677099"/>
      <w:bookmarkStart w:id="2037" w:name="_Toc333237707"/>
      <w:bookmarkStart w:id="2038" w:name="_Toc333237818"/>
      <w:bookmarkStart w:id="2039" w:name="_Toc337632387"/>
      <w:bookmarkStart w:id="2040" w:name="_Toc365985210"/>
      <w:bookmarkStart w:id="2041" w:name="_Toc331684071"/>
      <w:bookmarkStart w:id="2042" w:name="_Toc342060404"/>
      <w:bookmarkStart w:id="2043" w:name="_Toc432695228"/>
      <w:bookmarkStart w:id="2044" w:name="_Toc342296790"/>
      <w:bookmarkStart w:id="2045" w:name="_Toc339441116"/>
      <w:bookmarkStart w:id="2046" w:name="_Toc343612949"/>
      <w:bookmarkStart w:id="2047" w:name="_Toc350438778"/>
      <w:bookmarkStart w:id="2048" w:name="_Toc342312472"/>
      <w:bookmarkStart w:id="2049" w:name="_Toc332270376"/>
      <w:bookmarkStart w:id="2050" w:name="_Toc343248447"/>
      <w:bookmarkStart w:id="2051" w:name="_Toc340672898"/>
      <w:bookmarkStart w:id="2052" w:name="_Toc339019918"/>
      <w:bookmarkStart w:id="2053" w:name="_Toc350756479"/>
      <w:bookmarkStart w:id="2054" w:name="_Toc339020262"/>
      <w:bookmarkStart w:id="2055" w:name="_Toc333935716"/>
      <w:bookmarkStart w:id="2056" w:name="_Toc336681609"/>
      <w:bookmarkStart w:id="2057" w:name="_Toc342398159"/>
      <w:bookmarkStart w:id="2058" w:name="_Toc333238663"/>
      <w:bookmarkStart w:id="2059" w:name="_Toc333935375"/>
      <w:bookmarkStart w:id="2060" w:name="_Toc336681964"/>
      <w:bookmarkStart w:id="2061" w:name="_Toc345312626"/>
      <w:bookmarkStart w:id="2062" w:name="_Toc339362329"/>
      <w:bookmarkStart w:id="2063" w:name="_Toc339020044"/>
      <w:bookmarkStart w:id="2064" w:name="_Toc332206738"/>
      <w:bookmarkStart w:id="2065" w:name="_Toc1690"/>
      <w:r>
        <w:rPr>
          <w:rFonts w:hint="eastAsia"/>
          <w:color w:val="000000" w:themeColor="text1"/>
          <w:highlight w:val="none"/>
          <w14:textFill>
            <w14:solidFill>
              <w14:schemeClr w14:val="tx1"/>
            </w14:solidFill>
          </w14:textFill>
        </w:rPr>
        <w:t>附件六：同类业绩一览表</w:t>
      </w:r>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bookmarkStart w:id="2066" w:name="_Hlk534184855"/>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bookmarkEnd w:id="2066"/>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kern w:val="2"/>
                <w:sz w:val="21"/>
                <w:szCs w:val="24"/>
                <w:highlight w:val="none"/>
                <w14:textFill>
                  <w14:solidFill>
                    <w14:schemeClr w14:val="tx1"/>
                  </w14:solidFill>
                </w14:textFill>
              </w:rPr>
            </w:pPr>
          </w:p>
        </w:tc>
      </w:tr>
    </w:tbl>
    <w:p>
      <w:pPr>
        <w:pStyle w:val="4"/>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4"/>
        <w:snapToGrid w:val="0"/>
        <w:spacing w:line="360" w:lineRule="auto"/>
        <w:ind w:firstLine="0"/>
        <w:rPr>
          <w:rFonts w:hAnsi="宋体"/>
          <w:bCs/>
          <w:color w:val="000000" w:themeColor="text1"/>
          <w:sz w:val="21"/>
          <w:highlight w:val="none"/>
          <w14:textFill>
            <w14:solidFill>
              <w14:schemeClr w14:val="tx1"/>
            </w14:solidFill>
          </w14:textFill>
        </w:rPr>
      </w:pPr>
    </w:p>
    <w:p>
      <w:pPr>
        <w:pStyle w:val="4"/>
        <w:snapToGrid w:val="0"/>
        <w:spacing w:line="360" w:lineRule="auto"/>
        <w:ind w:firstLine="0"/>
        <w:rPr>
          <w:rFonts w:hAnsi="宋体"/>
          <w:bCs/>
          <w:color w:val="000000" w:themeColor="text1"/>
          <w:sz w:val="21"/>
          <w:highlight w:val="none"/>
          <w14:textFill>
            <w14:solidFill>
              <w14:schemeClr w14:val="tx1"/>
            </w14:solidFill>
          </w14:textFill>
        </w:rPr>
      </w:pPr>
    </w:p>
    <w:p>
      <w:pPr>
        <w:pStyle w:val="4"/>
        <w:snapToGrid w:val="0"/>
        <w:spacing w:line="360" w:lineRule="auto"/>
        <w:ind w:firstLine="0"/>
        <w:rPr>
          <w:rFonts w:hAnsi="宋体"/>
          <w:bCs/>
          <w:color w:val="000000" w:themeColor="text1"/>
          <w:sz w:val="21"/>
          <w:highlight w:val="none"/>
          <w14:textFill>
            <w14:solidFill>
              <w14:schemeClr w14:val="tx1"/>
            </w14:solidFill>
          </w14:textFill>
        </w:rPr>
      </w:pPr>
    </w:p>
    <w:p>
      <w:pPr>
        <w:pStyle w:val="4"/>
        <w:snapToGrid w:val="0"/>
        <w:spacing w:line="360" w:lineRule="auto"/>
        <w:ind w:firstLine="0"/>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bookmarkStart w:id="2067" w:name="_Hlk534184880"/>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bookmarkEnd w:id="2067"/>
    </w:p>
    <w:p>
      <w:pPr>
        <w:pStyle w:val="3"/>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p>
    <w:p>
      <w:pPr>
        <w:pStyle w:val="3"/>
        <w:numPr>
          <w:ilvl w:val="0"/>
          <w:numId w:val="0"/>
        </w:numPr>
        <w:spacing w:line="400" w:lineRule="exact"/>
        <w:rPr>
          <w:rFonts w:hAnsi="黑体" w:cs="黑体"/>
          <w:color w:val="000000" w:themeColor="text1"/>
          <w:highlight w:val="none"/>
          <w14:textFill>
            <w14:solidFill>
              <w14:schemeClr w14:val="tx1"/>
            </w14:solidFill>
          </w14:textFill>
        </w:rPr>
      </w:pPr>
      <w:bookmarkStart w:id="2068" w:name="_Toc432695229"/>
      <w:bookmarkStart w:id="2069" w:name="_Toc432682754"/>
      <w:bookmarkStart w:id="2070" w:name="_Toc430771089"/>
      <w:bookmarkStart w:id="2071" w:name="_Toc4090"/>
      <w:bookmarkStart w:id="2072" w:name="_Toc340677100"/>
      <w:bookmarkStart w:id="2073" w:name="_Toc365967105"/>
      <w:bookmarkStart w:id="2074" w:name="_Toc336681610"/>
      <w:bookmarkStart w:id="2075" w:name="_Toc331512931"/>
      <w:bookmarkStart w:id="2076" w:name="_Toc339019919"/>
      <w:bookmarkStart w:id="2077" w:name="_Toc342060405"/>
      <w:bookmarkStart w:id="2078" w:name="_Toc339362330"/>
      <w:bookmarkStart w:id="2079" w:name="_Toc332206739"/>
      <w:bookmarkStart w:id="2080" w:name="_Toc333237819"/>
      <w:bookmarkStart w:id="2081" w:name="_Toc330460016"/>
      <w:bookmarkStart w:id="2082" w:name="_Toc343247130"/>
      <w:bookmarkStart w:id="2083" w:name="_Toc340507472"/>
      <w:bookmarkStart w:id="2084" w:name="_Toc343248448"/>
      <w:bookmarkStart w:id="2085" w:name="_Toc333935717"/>
      <w:bookmarkStart w:id="2086" w:name="_Toc365985211"/>
      <w:bookmarkStart w:id="2087" w:name="_Toc332270377"/>
      <w:bookmarkStart w:id="2088" w:name="_Toc350438779"/>
      <w:bookmarkStart w:id="2089" w:name="_Toc336681965"/>
      <w:bookmarkStart w:id="2090" w:name="_Toc342398160"/>
      <w:bookmarkStart w:id="2091" w:name="_Toc366072562"/>
      <w:bookmarkStart w:id="2092" w:name="_Toc340672899"/>
      <w:bookmarkStart w:id="2093" w:name="_Toc339020125"/>
      <w:bookmarkStart w:id="2094" w:name="_Toc102451601"/>
      <w:bookmarkStart w:id="2095" w:name="_Toc331684072"/>
      <w:bookmarkStart w:id="2096" w:name="_Toc343612950"/>
      <w:bookmarkStart w:id="2097" w:name="_Toc339441117"/>
      <w:bookmarkStart w:id="2098" w:name="_Toc342312473"/>
      <w:bookmarkStart w:id="2099" w:name="_Toc341348370"/>
      <w:bookmarkStart w:id="2100" w:name="_Toc350756480"/>
      <w:bookmarkStart w:id="2101" w:name="_Toc333237708"/>
      <w:bookmarkStart w:id="2102" w:name="_Toc333238664"/>
      <w:bookmarkStart w:id="2103" w:name="_Toc337632388"/>
      <w:bookmarkStart w:id="2104" w:name="_Toc339020045"/>
      <w:bookmarkStart w:id="2105" w:name="_Toc339020263"/>
      <w:bookmarkStart w:id="2106" w:name="_Toc333935376"/>
      <w:bookmarkStart w:id="2107" w:name="_Toc342296791"/>
      <w:bookmarkStart w:id="2108" w:name="_Toc345312627"/>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bookmarkEnd w:id="2068"/>
      <w:bookmarkEnd w:id="2069"/>
      <w:bookmarkEnd w:id="2070"/>
      <w:bookmarkEnd w:id="2071"/>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w:t>
      </w:r>
      <w:r>
        <w:rPr>
          <w:rFonts w:hint="eastAsia" w:ascii="宋体" w:hAnsi="宋体" w:cs="宋体"/>
          <w:color w:val="000000" w:themeColor="text1"/>
          <w:highlight w:val="none"/>
          <w14:textFill>
            <w14:solidFill>
              <w14:schemeClr w14:val="tx1"/>
            </w14:solidFill>
          </w14:textFill>
        </w:rPr>
        <w:t>（项目编号：</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）采购活动提供本企业制造的货物，由本企业承担工程、</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bookmarkStart w:id="2109" w:name="_Hlk534184837"/>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bookmarkEnd w:id="2109"/>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3"/>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2110" w:name="_Toc17758"/>
      <w:bookmarkStart w:id="2111" w:name="_Hlk534184757"/>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bookmarkEnd w:id="2110"/>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4"/>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3"/>
        <w:numPr>
          <w:ilvl w:val="1"/>
          <w:numId w:val="0"/>
        </w:numPr>
        <w:spacing w:line="400" w:lineRule="exact"/>
        <w:rPr>
          <w:color w:val="000000" w:themeColor="text1"/>
          <w:highlight w:val="none"/>
          <w14:textFill>
            <w14:solidFill>
              <w14:schemeClr w14:val="tx1"/>
            </w14:solidFill>
          </w14:textFill>
        </w:rPr>
      </w:pPr>
      <w:bookmarkStart w:id="2112" w:name="_Toc432695230"/>
      <w:bookmarkStart w:id="2113" w:name="_Toc5203"/>
      <w:r>
        <w:rPr>
          <w:rFonts w:hint="eastAsia"/>
          <w:color w:val="000000" w:themeColor="text1"/>
          <w:highlight w:val="none"/>
          <w14:textFill>
            <w14:solidFill>
              <w14:schemeClr w14:val="tx1"/>
            </w14:solidFill>
          </w14:textFill>
        </w:rPr>
        <w:t>附件九：中标服务费承诺</w:t>
      </w:r>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12"/>
      <w:bookmarkEnd w:id="2113"/>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14:textFill>
            <w14:solidFill>
              <w14:schemeClr w14:val="tx1"/>
            </w14:solidFill>
          </w14:textFill>
        </w:rPr>
        <w:t>广东业信采购招标有限公司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pPr>
    </w:p>
    <w:p>
      <w:pPr>
        <w:pStyle w:val="3"/>
        <w:numPr>
          <w:ilvl w:val="1"/>
          <w:numId w:val="0"/>
        </w:numPr>
        <w:spacing w:line="400" w:lineRule="exact"/>
        <w:rPr>
          <w:color w:val="000000" w:themeColor="text1"/>
          <w:highlight w:val="none"/>
          <w14:textFill>
            <w14:solidFill>
              <w14:schemeClr w14:val="tx1"/>
            </w14:solidFill>
          </w14:textFill>
        </w:rPr>
      </w:pPr>
      <w:bookmarkStart w:id="2114" w:name="_Toc326065622"/>
      <w:bookmarkStart w:id="2115" w:name="_Toc365967106"/>
      <w:bookmarkStart w:id="2116" w:name="_Toc339020264"/>
      <w:bookmarkStart w:id="2117" w:name="_Toc342312474"/>
      <w:bookmarkStart w:id="2118" w:name="_Toc339020046"/>
      <w:bookmarkStart w:id="2119" w:name="_Toc343248449"/>
      <w:bookmarkStart w:id="2120" w:name="_Toc331684073"/>
      <w:bookmarkStart w:id="2121" w:name="_Toc339019920"/>
      <w:bookmarkStart w:id="2122" w:name="_Toc342398161"/>
      <w:bookmarkStart w:id="2123" w:name="_Toc331512932"/>
      <w:bookmarkStart w:id="2124" w:name="_Toc342296792"/>
      <w:bookmarkStart w:id="2125" w:name="_Toc340507473"/>
      <w:bookmarkStart w:id="2126" w:name="_Toc365985212"/>
      <w:bookmarkStart w:id="2127" w:name="_Toc350756481"/>
      <w:bookmarkStart w:id="2128" w:name="_Toc337632389"/>
      <w:bookmarkStart w:id="2129" w:name="_Toc336681611"/>
      <w:bookmarkStart w:id="2130" w:name="_Toc336681966"/>
      <w:bookmarkStart w:id="2131" w:name="_Toc342060406"/>
      <w:bookmarkStart w:id="2132" w:name="_Toc350438780"/>
      <w:bookmarkStart w:id="2133" w:name="_Toc339362331"/>
      <w:bookmarkStart w:id="2134" w:name="_Toc345312628"/>
      <w:bookmarkStart w:id="2135" w:name="_Toc343612951"/>
      <w:bookmarkStart w:id="2136" w:name="_Toc333237709"/>
      <w:bookmarkStart w:id="2137" w:name="_Toc343247131"/>
      <w:bookmarkStart w:id="2138" w:name="_Toc339441118"/>
      <w:bookmarkStart w:id="2139" w:name="_Toc333237820"/>
      <w:bookmarkStart w:id="2140" w:name="_Toc333935377"/>
      <w:bookmarkStart w:id="2141" w:name="_Toc332270378"/>
      <w:bookmarkStart w:id="2142" w:name="_Toc339020126"/>
      <w:bookmarkStart w:id="2143" w:name="_Toc333238665"/>
      <w:bookmarkStart w:id="2144" w:name="_Toc340672900"/>
      <w:bookmarkStart w:id="2145" w:name="_Toc330460017"/>
      <w:bookmarkStart w:id="2146" w:name="_Toc332206740"/>
      <w:bookmarkStart w:id="2147" w:name="_Toc333935718"/>
      <w:bookmarkStart w:id="2148" w:name="_Toc28420"/>
      <w:bookmarkStart w:id="2149" w:name="_Toc341348371"/>
      <w:bookmarkStart w:id="2150" w:name="_Toc340677101"/>
      <w:bookmarkStart w:id="2151" w:name="_Toc432695231"/>
      <w:bookmarkStart w:id="2152" w:name="_Toc366072563"/>
      <w:r>
        <w:rPr>
          <w:rFonts w:hint="eastAsia"/>
          <w:color w:val="000000" w:themeColor="text1"/>
          <w:highlight w:val="none"/>
          <w14:textFill>
            <w14:solidFill>
              <w14:schemeClr w14:val="tx1"/>
            </w14:solidFill>
          </w14:textFill>
        </w:rPr>
        <w:t>附件十：</w:t>
      </w:r>
      <w:bookmarkEnd w:id="2114"/>
      <w:r>
        <w:rPr>
          <w:rFonts w:hint="eastAsia"/>
          <w:color w:val="000000" w:themeColor="text1"/>
          <w:highlight w:val="none"/>
          <w14:textFill>
            <w14:solidFill>
              <w14:schemeClr w14:val="tx1"/>
            </w14:solidFill>
          </w14:textFill>
        </w:rPr>
        <w:t>投标人提交的其它商务和技术资料</w:t>
      </w:r>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4"/>
        <w:spacing w:line="360" w:lineRule="auto"/>
        <w:rPr>
          <w:rFonts w:hAnsi="宋体"/>
          <w:bCs/>
          <w:color w:val="000000" w:themeColor="text1"/>
          <w:sz w:val="21"/>
          <w:highlight w:val="none"/>
          <w14:textFill>
            <w14:solidFill>
              <w14:schemeClr w14:val="tx1"/>
            </w14:solidFill>
          </w14:textFill>
        </w:rPr>
      </w:pPr>
    </w:p>
    <w:p>
      <w:pPr>
        <w:pStyle w:val="4"/>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4"/>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4"/>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4"/>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4"/>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4"/>
        <w:rPr>
          <w:color w:val="000000" w:themeColor="text1"/>
          <w:highlight w:val="none"/>
          <w14:textFill>
            <w14:solidFill>
              <w14:schemeClr w14:val="tx1"/>
            </w14:solidFill>
          </w14:textFill>
        </w:rPr>
      </w:pPr>
      <w:bookmarkStart w:id="2153" w:name="_Toc434832511"/>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bookmarkEnd w:id="2111"/>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3"/>
        <w:numPr>
          <w:ilvl w:val="0"/>
          <w:numId w:val="0"/>
        </w:numPr>
        <w:rPr>
          <w:color w:val="000000" w:themeColor="text1"/>
          <w:sz w:val="52"/>
          <w:highlight w:val="none"/>
          <w14:textFill>
            <w14:solidFill>
              <w14:schemeClr w14:val="tx1"/>
            </w14:solidFill>
          </w14:textFill>
        </w:rPr>
      </w:pPr>
      <w:bookmarkStart w:id="2154" w:name="_Toc456887842"/>
      <w:bookmarkStart w:id="2155" w:name="_Toc2422"/>
      <w:bookmarkStart w:id="2156" w:name="_Toc456888293"/>
      <w:r>
        <w:rPr>
          <w:rFonts w:hint="eastAsia"/>
          <w:color w:val="000000" w:themeColor="text1"/>
          <w:sz w:val="52"/>
          <w:highlight w:val="none"/>
          <w14:textFill>
            <w14:solidFill>
              <w14:schemeClr w14:val="tx1"/>
            </w14:solidFill>
          </w14:textFill>
        </w:rPr>
        <w:t>其 他 格 式</w:t>
      </w:r>
      <w:bookmarkEnd w:id="2153"/>
      <w:bookmarkEnd w:id="2154"/>
      <w:bookmarkEnd w:id="2155"/>
      <w:bookmarkEnd w:id="2156"/>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5"/>
        <w:numPr>
          <w:ilvl w:val="0"/>
          <w:numId w:val="0"/>
        </w:numPr>
        <w:spacing w:afterLines="50"/>
        <w:jc w:val="center"/>
        <w:rPr>
          <w:rFonts w:ascii="宋体" w:hAnsi="宋体" w:eastAsia="宋体"/>
          <w:b/>
          <w:bCs w:val="0"/>
          <w:color w:val="000000" w:themeColor="text1"/>
          <w:sz w:val="28"/>
          <w:highlight w:val="none"/>
          <w14:textFill>
            <w14:solidFill>
              <w14:schemeClr w14:val="tx1"/>
            </w14:solidFill>
          </w14:textFill>
        </w:rPr>
      </w:pPr>
      <w:bookmarkStart w:id="2157" w:name="_Toc456887843"/>
      <w:bookmarkStart w:id="2158" w:name="_Toc30466"/>
      <w:bookmarkStart w:id="2159" w:name="_Toc456888294"/>
      <w:r>
        <w:rPr>
          <w:rFonts w:hint="eastAsia" w:ascii="宋体" w:hAnsi="宋体" w:eastAsia="宋体"/>
          <w:b/>
          <w:bCs w:val="0"/>
          <w:color w:val="000000" w:themeColor="text1"/>
          <w:sz w:val="28"/>
          <w:highlight w:val="none"/>
          <w14:textFill>
            <w14:solidFill>
              <w14:schemeClr w14:val="tx1"/>
            </w14:solidFill>
          </w14:textFill>
        </w:rPr>
        <w:t>投标保证金退付书</w:t>
      </w:r>
      <w:bookmarkEnd w:id="2157"/>
      <w:bookmarkEnd w:id="2158"/>
      <w:bookmarkEnd w:id="2159"/>
    </w:p>
    <w:p>
      <w:pPr>
        <w:pStyle w:val="4"/>
        <w:rPr>
          <w:color w:val="000000" w:themeColor="text1"/>
          <w:highlight w:val="none"/>
          <w14:textFill>
            <w14:solidFill>
              <w14:schemeClr w14:val="tx1"/>
            </w14:solidFill>
          </w14:textFill>
        </w:rPr>
      </w:pPr>
    </w:p>
    <w:p>
      <w:pPr>
        <w:spacing w:line="288"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致：广东业信采购招标有限公司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7"/>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5"/>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5"/>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5"/>
                <w:color w:val="000000" w:themeColor="text1"/>
                <w:spacing w:val="10"/>
                <w:sz w:val="21"/>
                <w:szCs w:val="21"/>
                <w:highlight w:val="none"/>
                <w:u w:val="single"/>
                <w:lang w:val="zh-CN"/>
                <w14:textFill>
                  <w14:solidFill>
                    <w14:schemeClr w14:val="tx1"/>
                  </w14:solidFill>
                </w14:textFill>
              </w:rPr>
            </w:pPr>
            <w:r>
              <w:rPr>
                <w:rStyle w:val="305"/>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开户银行</w:t>
            </w:r>
            <w:r>
              <w:rPr>
                <w:rStyle w:val="305"/>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5"/>
                <w:color w:val="000000" w:themeColor="text1"/>
                <w:spacing w:val="10"/>
                <w:sz w:val="21"/>
                <w:szCs w:val="21"/>
                <w:highlight w:val="none"/>
                <w:u w:val="single"/>
                <w:lang w:val="zh-CN"/>
                <w14:textFill>
                  <w14:solidFill>
                    <w14:schemeClr w14:val="tx1"/>
                  </w14:solidFill>
                </w14:textFill>
              </w:rPr>
            </w:pPr>
            <w:r>
              <w:rPr>
                <w:rStyle w:val="305"/>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5"/>
                <w:b/>
                <w:color w:val="000000" w:themeColor="text1"/>
                <w:spacing w:val="10"/>
                <w:sz w:val="21"/>
                <w:szCs w:val="21"/>
                <w:highlight w:val="none"/>
                <w:lang w:val="zh-CN"/>
                <w14:textFill>
                  <w14:solidFill>
                    <w14:schemeClr w14:val="tx1"/>
                  </w14:solidFill>
                </w14:textFill>
              </w:rPr>
            </w:pPr>
            <w:r>
              <w:rPr>
                <w:rStyle w:val="305"/>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5"/>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5"/>
                <w:color w:val="000000" w:themeColor="text1"/>
                <w:spacing w:val="10"/>
                <w:sz w:val="21"/>
                <w:szCs w:val="21"/>
                <w:highlight w:val="none"/>
                <w:lang w:val="zh-CN"/>
                <w14:textFill>
                  <w14:solidFill>
                    <w14:schemeClr w14:val="tx1"/>
                  </w14:solidFill>
                </w14:textFill>
              </w:rPr>
            </w:pPr>
            <w:r>
              <w:rPr>
                <w:rStyle w:val="305"/>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5"/>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7"/>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投标保证金凭证复印件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jc w:val="center"/>
        <w:rPr>
          <w:rFonts w:hint="eastAsia"/>
          <w:color w:val="000000" w:themeColor="text1"/>
          <w:sz w:val="44"/>
          <w:szCs w:val="44"/>
          <w:highlight w:val="none"/>
          <w14:textFill>
            <w14:solidFill>
              <w14:schemeClr w14:val="tx1"/>
            </w14:solidFill>
          </w14:textFill>
        </w:rPr>
      </w:pPr>
      <w:bookmarkStart w:id="2160" w:name="_Hlk534184791"/>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2"/>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2"/>
        <w:spacing w:before="0" w:beforeAutospacing="0" w:after="0" w:afterAutospacing="0" w:line="360" w:lineRule="auto"/>
        <w:jc w:val="center"/>
        <w:rPr>
          <w:rStyle w:val="50"/>
          <w:rFonts w:cs="Times New Roman"/>
          <w:color w:val="000000" w:themeColor="text1"/>
          <w:highlight w:val="none"/>
          <w14:textFill>
            <w14:solidFill>
              <w14:schemeClr w14:val="tx1"/>
            </w14:solidFill>
          </w14:textFill>
        </w:rPr>
      </w:pPr>
      <w:r>
        <w:rPr>
          <w:rStyle w:val="50"/>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2"/>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2"/>
        <w:spacing w:before="0" w:beforeAutospacing="0" w:after="0" w:afterAutospacing="0" w:line="360" w:lineRule="auto"/>
        <w:jc w:val="center"/>
        <w:rPr>
          <w:rStyle w:val="50"/>
          <w:rFonts w:cs="Times New Roman"/>
          <w:color w:val="000000" w:themeColor="text1"/>
          <w:highlight w:val="none"/>
          <w14:textFill>
            <w14:solidFill>
              <w14:schemeClr w14:val="tx1"/>
            </w14:solidFill>
          </w14:textFill>
        </w:rPr>
      </w:pPr>
      <w:r>
        <w:rPr>
          <w:rStyle w:val="50"/>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bookmarkEnd w:id="2160"/>
    <w:p>
      <w:pPr>
        <w:spacing w:line="360" w:lineRule="auto"/>
        <w:jc w:val="left"/>
        <w:rPr>
          <w:rFonts w:ascii="仿宋_GB2312" w:hAnsi="仿宋" w:eastAsia="仿宋_GB2312"/>
          <w:color w:val="000000" w:themeColor="text1"/>
          <w:sz w:val="24"/>
          <w:highlight w:val="none"/>
          <w14:textFill>
            <w14:solidFill>
              <w14:schemeClr w14:val="tx1"/>
            </w14:solidFill>
          </w14:textFill>
        </w:rPr>
      </w:pPr>
    </w:p>
    <w:sectPr>
      <w:pgSz w:w="11906" w:h="16838"/>
      <w:pgMar w:top="1474" w:right="1418" w:bottom="1474" w:left="1418" w:header="851" w:footer="851" w:gutter="0"/>
      <w:pgBorders>
        <w:top w:val="none" w:sz="0" w:space="0"/>
        <w:left w:val="none" w:sz="0" w:space="0"/>
        <w:bottom w:val="none" w:sz="0" w:space="0"/>
        <w:right w:val="none" w:sz="0" w:space="0"/>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roman"/>
    <w:pitch w:val="default"/>
    <w:sig w:usb0="00000000" w:usb1="00000000" w:usb2="0000003F" w:usb3="00000000" w:csb0="601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1"/>
      </w:rPr>
    </w:pPr>
    <w:r>
      <w:fldChar w:fldCharType="begin"/>
    </w:r>
    <w:r>
      <w:rPr>
        <w:rStyle w:val="51"/>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BD853"/>
    <w:multiLevelType w:val="singleLevel"/>
    <w:tmpl w:val="811BD853"/>
    <w:lvl w:ilvl="0" w:tentative="0">
      <w:start w:val="1"/>
      <w:numFmt w:val="decimal"/>
      <w:lvlText w:val="%1"/>
      <w:lvlJc w:val="left"/>
      <w:pPr>
        <w:tabs>
          <w:tab w:val="left" w:pos="420"/>
        </w:tabs>
        <w:ind w:left="425" w:hanging="425"/>
      </w:pPr>
      <w:rPr>
        <w:rFonts w:hint="default"/>
      </w:rPr>
    </w:lvl>
  </w:abstractNum>
  <w:abstractNum w:abstractNumId="1">
    <w:nsid w:val="8B64DD8E"/>
    <w:multiLevelType w:val="singleLevel"/>
    <w:tmpl w:val="8B64DD8E"/>
    <w:lvl w:ilvl="0" w:tentative="0">
      <w:start w:val="1"/>
      <w:numFmt w:val="decimal"/>
      <w:lvlText w:val="%1"/>
      <w:lvlJc w:val="left"/>
      <w:pPr>
        <w:tabs>
          <w:tab w:val="left" w:pos="420"/>
        </w:tabs>
        <w:ind w:left="425" w:hanging="425"/>
      </w:pPr>
      <w:rPr>
        <w:rFonts w:hint="default"/>
      </w:rPr>
    </w:lvl>
  </w:abstractNum>
  <w:abstractNum w:abstractNumId="2">
    <w:nsid w:val="AB31DD7B"/>
    <w:multiLevelType w:val="singleLevel"/>
    <w:tmpl w:val="AB31DD7B"/>
    <w:lvl w:ilvl="0" w:tentative="0">
      <w:start w:val="3"/>
      <w:numFmt w:val="decimal"/>
      <w:suff w:val="nothing"/>
      <w:lvlText w:val="%1、"/>
      <w:lvlJc w:val="left"/>
    </w:lvl>
  </w:abstractNum>
  <w:abstractNum w:abstractNumId="3">
    <w:nsid w:val="00000003"/>
    <w:multiLevelType w:val="multilevel"/>
    <w:tmpl w:val="00000003"/>
    <w:lvl w:ilvl="0" w:tentative="0">
      <w:start w:val="1"/>
      <w:numFmt w:val="decimal"/>
      <w:pStyle w:val="300"/>
      <w:lvlText w:val="%1. "/>
      <w:lvlJc w:val="left"/>
      <w:pPr>
        <w:tabs>
          <w:tab w:val="left" w:pos="981"/>
        </w:tabs>
        <w:ind w:left="981" w:hanging="419"/>
      </w:pPr>
    </w:lvl>
    <w:lvl w:ilvl="1" w:tentative="0">
      <w:start w:val="1"/>
      <w:numFmt w:val="upperLetter"/>
      <w:pStyle w:val="289"/>
      <w:lvlText w:val="%2. "/>
      <w:lvlJc w:val="left"/>
      <w:pPr>
        <w:tabs>
          <w:tab w:val="left" w:pos="1191"/>
        </w:tabs>
        <w:ind w:left="1191" w:hanging="420"/>
      </w:pPr>
    </w:lvl>
    <w:lvl w:ilvl="2" w:tentative="0">
      <w:start w:val="1"/>
      <w:numFmt w:val="lowerLetter"/>
      <w:pStyle w:val="298"/>
      <w:lvlText w:val="%3. "/>
      <w:lvlJc w:val="left"/>
      <w:pPr>
        <w:tabs>
          <w:tab w:val="left" w:pos="1401"/>
        </w:tabs>
        <w:ind w:left="1401" w:hanging="420"/>
      </w:pPr>
    </w:lvl>
    <w:lvl w:ilvl="3" w:tentative="0">
      <w:start w:val="1"/>
      <w:numFmt w:val="lowerLetter"/>
      <w:pStyle w:val="157"/>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71"/>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9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6"/>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8"/>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5"/>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4"/>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9"/>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0"/>
      <w:suff w:val="space"/>
      <w:lvlText w:val="%1.%2.%3"/>
      <w:lvlJc w:val="left"/>
      <w:pPr>
        <w:tabs>
          <w:tab w:val="left" w:pos="1418"/>
        </w:tabs>
        <w:ind w:left="0" w:firstLine="0"/>
      </w:pPr>
    </w:lvl>
    <w:lvl w:ilvl="3" w:tentative="0">
      <w:start w:val="1"/>
      <w:numFmt w:val="decimal"/>
      <w:pStyle w:val="297"/>
      <w:suff w:val="space"/>
      <w:lvlText w:val="%1.%2.%3.%4"/>
      <w:lvlJc w:val="left"/>
      <w:pPr>
        <w:tabs>
          <w:tab w:val="left" w:pos="1984"/>
        </w:tabs>
        <w:ind w:left="0" w:firstLine="0"/>
      </w:pPr>
    </w:lvl>
    <w:lvl w:ilvl="4" w:tentative="0">
      <w:start w:val="1"/>
      <w:numFmt w:val="decimal"/>
      <w:pStyle w:val="293"/>
      <w:suff w:val="space"/>
      <w:lvlText w:val="%1.%2.%3.%4.%5"/>
      <w:lvlJc w:val="left"/>
      <w:pPr>
        <w:tabs>
          <w:tab w:val="left" w:pos="2551"/>
        </w:tabs>
        <w:ind w:left="0" w:firstLine="0"/>
      </w:pPr>
    </w:lvl>
    <w:lvl w:ilvl="5" w:tentative="0">
      <w:start w:val="1"/>
      <w:numFmt w:val="decimal"/>
      <w:pStyle w:val="198"/>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200"/>
      <w:lvlText w:val="%1)"/>
      <w:lvlJc w:val="left"/>
      <w:pPr>
        <w:tabs>
          <w:tab w:val="left" w:pos="420"/>
        </w:tabs>
        <w:ind w:left="420" w:hanging="420"/>
      </w:pPr>
    </w:lvl>
    <w:lvl w:ilvl="1" w:tentative="0">
      <w:start w:val="1"/>
      <w:numFmt w:val="lowerLetter"/>
      <w:pStyle w:val="125"/>
      <w:lvlText w:val="%2)"/>
      <w:lvlJc w:val="left"/>
      <w:pPr>
        <w:tabs>
          <w:tab w:val="left" w:pos="840"/>
        </w:tabs>
        <w:ind w:left="840" w:hanging="420"/>
      </w:pPr>
    </w:lvl>
    <w:lvl w:ilvl="2" w:tentative="0">
      <w:start w:val="1"/>
      <w:numFmt w:val="lowerRoman"/>
      <w:pStyle w:val="124"/>
      <w:lvlText w:val="%3."/>
      <w:lvlJc w:val="right"/>
      <w:pPr>
        <w:tabs>
          <w:tab w:val="left" w:pos="1260"/>
        </w:tabs>
        <w:ind w:left="1260" w:hanging="420"/>
      </w:pPr>
    </w:lvl>
    <w:lvl w:ilvl="3" w:tentative="0">
      <w:start w:val="1"/>
      <w:numFmt w:val="decimal"/>
      <w:pStyle w:val="189"/>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9"/>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55"/>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1"/>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50"/>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4"/>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41"/>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772EC0F"/>
    <w:multiLevelType w:val="singleLevel"/>
    <w:tmpl w:val="0772EC0F"/>
    <w:lvl w:ilvl="0" w:tentative="0">
      <w:start w:val="9"/>
      <w:numFmt w:val="decimal"/>
      <w:suff w:val="space"/>
      <w:lvlText w:val="%1)"/>
      <w:lvlJc w:val="left"/>
    </w:lvl>
  </w:abstractNum>
  <w:abstractNum w:abstractNumId="32">
    <w:nsid w:val="19028C8B"/>
    <w:multiLevelType w:val="singleLevel"/>
    <w:tmpl w:val="19028C8B"/>
    <w:lvl w:ilvl="0" w:tentative="0">
      <w:start w:val="1"/>
      <w:numFmt w:val="decimal"/>
      <w:lvlText w:val="%1"/>
      <w:lvlJc w:val="left"/>
      <w:pPr>
        <w:tabs>
          <w:tab w:val="left" w:pos="420"/>
        </w:tabs>
        <w:ind w:left="425" w:hanging="425"/>
      </w:pPr>
      <w:rPr>
        <w:rFonts w:hint="default"/>
      </w:rPr>
    </w:lvl>
  </w:abstractNum>
  <w:abstractNum w:abstractNumId="33">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6C6E181"/>
    <w:multiLevelType w:val="singleLevel"/>
    <w:tmpl w:val="36C6E181"/>
    <w:lvl w:ilvl="0" w:tentative="0">
      <w:start w:val="1"/>
      <w:numFmt w:val="decimal"/>
      <w:lvlText w:val="%1"/>
      <w:lvlJc w:val="left"/>
      <w:pPr>
        <w:tabs>
          <w:tab w:val="left" w:pos="420"/>
        </w:tabs>
        <w:ind w:left="425" w:hanging="425"/>
      </w:pPr>
      <w:rPr>
        <w:rFonts w:hint="default"/>
      </w:rPr>
    </w:lvl>
  </w:abstractNum>
  <w:abstractNum w:abstractNumId="35">
    <w:nsid w:val="3A382E4A"/>
    <w:multiLevelType w:val="multilevel"/>
    <w:tmpl w:val="3A382E4A"/>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6">
    <w:nsid w:val="4AE3A212"/>
    <w:multiLevelType w:val="singleLevel"/>
    <w:tmpl w:val="4AE3A212"/>
    <w:lvl w:ilvl="0" w:tentative="0">
      <w:start w:val="1"/>
      <w:numFmt w:val="decimal"/>
      <w:lvlText w:val="%1"/>
      <w:lvlJc w:val="left"/>
      <w:pPr>
        <w:tabs>
          <w:tab w:val="left" w:pos="420"/>
        </w:tabs>
        <w:ind w:left="425" w:hanging="425"/>
      </w:pPr>
      <w:rPr>
        <w:rFonts w:hint="default"/>
      </w:rPr>
    </w:lvl>
  </w:abstractNum>
  <w:abstractNum w:abstractNumId="37">
    <w:nsid w:val="5907DC71"/>
    <w:multiLevelType w:val="singleLevel"/>
    <w:tmpl w:val="5907DC71"/>
    <w:lvl w:ilvl="0" w:tentative="0">
      <w:start w:val="1"/>
      <w:numFmt w:val="decimal"/>
      <w:lvlText w:val="%1"/>
      <w:lvlJc w:val="left"/>
      <w:pPr>
        <w:tabs>
          <w:tab w:val="left" w:pos="420"/>
        </w:tabs>
        <w:ind w:left="425" w:hanging="425"/>
      </w:pPr>
      <w:rPr>
        <w:rFonts w:hint="default"/>
      </w:rPr>
    </w:lvl>
  </w:abstractNum>
  <w:abstractNum w:abstractNumId="38">
    <w:nsid w:val="6305C10B"/>
    <w:multiLevelType w:val="singleLevel"/>
    <w:tmpl w:val="6305C10B"/>
    <w:lvl w:ilvl="0" w:tentative="0">
      <w:start w:val="5"/>
      <w:numFmt w:val="decimal"/>
      <w:suff w:val="nothing"/>
      <w:lvlText w:val="%1）"/>
      <w:lvlJc w:val="left"/>
    </w:lvl>
  </w:abstractNum>
  <w:abstractNum w:abstractNumId="39">
    <w:nsid w:val="69988D33"/>
    <w:multiLevelType w:val="singleLevel"/>
    <w:tmpl w:val="69988D33"/>
    <w:lvl w:ilvl="0" w:tentative="0">
      <w:start w:val="1"/>
      <w:numFmt w:val="decimal"/>
      <w:lvlText w:val="%1"/>
      <w:lvlJc w:val="left"/>
      <w:pPr>
        <w:tabs>
          <w:tab w:val="left" w:pos="420"/>
        </w:tabs>
        <w:ind w:left="425" w:hanging="425"/>
      </w:pPr>
      <w:rPr>
        <w:rFonts w:hint="default"/>
      </w:rPr>
    </w:lvl>
  </w:abstractNum>
  <w:abstractNum w:abstractNumId="40">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20"/>
  </w:num>
  <w:num w:numId="6">
    <w:abstractNumId w:val="15"/>
  </w:num>
  <w:num w:numId="7">
    <w:abstractNumId w:val="29"/>
  </w:num>
  <w:num w:numId="8">
    <w:abstractNumId w:val="3"/>
  </w:num>
  <w:num w:numId="9">
    <w:abstractNumId w:val="7"/>
  </w:num>
  <w:num w:numId="10">
    <w:abstractNumId w:val="25"/>
  </w:num>
  <w:num w:numId="11">
    <w:abstractNumId w:val="13"/>
  </w:num>
  <w:num w:numId="12">
    <w:abstractNumId w:val="9"/>
  </w:num>
  <w:num w:numId="13">
    <w:abstractNumId w:val="27"/>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3"/>
  </w:num>
  <w:num w:numId="2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35"/>
  </w:num>
  <w:num w:numId="25">
    <w:abstractNumId w:val="34"/>
  </w:num>
  <w:num w:numId="26">
    <w:abstractNumId w:val="1"/>
  </w:num>
  <w:num w:numId="27">
    <w:abstractNumId w:val="37"/>
  </w:num>
  <w:num w:numId="28">
    <w:abstractNumId w:val="36"/>
  </w:num>
  <w:num w:numId="29">
    <w:abstractNumId w:val="38"/>
  </w:num>
  <w:num w:numId="30">
    <w:abstractNumId w:val="39"/>
  </w:num>
  <w:num w:numId="31">
    <w:abstractNumId w:val="0"/>
  </w:num>
  <w:num w:numId="32">
    <w:abstractNumId w:val="32"/>
  </w:num>
  <w:num w:numId="33">
    <w:abstractNumId w:val="31"/>
  </w:num>
  <w:num w:numId="34">
    <w:abstractNumId w:val="2"/>
  </w:num>
  <w:num w:numId="35">
    <w:abstractNumId w:val="16"/>
  </w:num>
  <w:num w:numId="36">
    <w:abstractNumId w:val="21"/>
  </w:num>
  <w:num w:numId="37">
    <w:abstractNumId w:val="22"/>
  </w:num>
  <w:num w:numId="38">
    <w:abstractNumId w:val="5"/>
  </w:num>
  <w:num w:numId="39">
    <w:abstractNumId w:val="10"/>
  </w:num>
  <w:num w:numId="40">
    <w:abstractNumId w:val="23"/>
    <w:lvlOverride w:ilvl="0">
      <w:startOverride w:val="1"/>
    </w:lvlOverride>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0E7EF6"/>
    <w:rsid w:val="02513AD3"/>
    <w:rsid w:val="055D5421"/>
    <w:rsid w:val="097F381D"/>
    <w:rsid w:val="0B833A2A"/>
    <w:rsid w:val="0E2E5AB0"/>
    <w:rsid w:val="0E30321A"/>
    <w:rsid w:val="0E39045D"/>
    <w:rsid w:val="0EB82544"/>
    <w:rsid w:val="0ECE669B"/>
    <w:rsid w:val="0FEF50EF"/>
    <w:rsid w:val="167F7E34"/>
    <w:rsid w:val="175E693E"/>
    <w:rsid w:val="19DD6175"/>
    <w:rsid w:val="1A230556"/>
    <w:rsid w:val="1A3A0760"/>
    <w:rsid w:val="1C196046"/>
    <w:rsid w:val="1C674B14"/>
    <w:rsid w:val="1C991E61"/>
    <w:rsid w:val="204F7E4F"/>
    <w:rsid w:val="21CF5CF2"/>
    <w:rsid w:val="21F0084A"/>
    <w:rsid w:val="22427039"/>
    <w:rsid w:val="22AB7731"/>
    <w:rsid w:val="24A10375"/>
    <w:rsid w:val="251615A7"/>
    <w:rsid w:val="255D7DA1"/>
    <w:rsid w:val="25E24D5B"/>
    <w:rsid w:val="27F96020"/>
    <w:rsid w:val="28F462CE"/>
    <w:rsid w:val="2A515672"/>
    <w:rsid w:val="2AE24E4A"/>
    <w:rsid w:val="2BC16D67"/>
    <w:rsid w:val="2E0527E3"/>
    <w:rsid w:val="2E652751"/>
    <w:rsid w:val="2FDD457E"/>
    <w:rsid w:val="30F36D0F"/>
    <w:rsid w:val="33D417B0"/>
    <w:rsid w:val="33E2586E"/>
    <w:rsid w:val="33EF33BC"/>
    <w:rsid w:val="342C193B"/>
    <w:rsid w:val="35262FD6"/>
    <w:rsid w:val="36017065"/>
    <w:rsid w:val="38593838"/>
    <w:rsid w:val="3A8D5704"/>
    <w:rsid w:val="3F622D4C"/>
    <w:rsid w:val="45610B8F"/>
    <w:rsid w:val="45F0646A"/>
    <w:rsid w:val="47B03BA9"/>
    <w:rsid w:val="4BE10A3F"/>
    <w:rsid w:val="4E04493F"/>
    <w:rsid w:val="510E2E01"/>
    <w:rsid w:val="511968B3"/>
    <w:rsid w:val="534772D0"/>
    <w:rsid w:val="53892DB3"/>
    <w:rsid w:val="5497438F"/>
    <w:rsid w:val="55A376D3"/>
    <w:rsid w:val="576E0066"/>
    <w:rsid w:val="5A6C09D0"/>
    <w:rsid w:val="60760A2E"/>
    <w:rsid w:val="607769D4"/>
    <w:rsid w:val="62C40B19"/>
    <w:rsid w:val="64D21405"/>
    <w:rsid w:val="65C56BAC"/>
    <w:rsid w:val="66250BF8"/>
    <w:rsid w:val="67912A45"/>
    <w:rsid w:val="6A54159E"/>
    <w:rsid w:val="6A8B3BD0"/>
    <w:rsid w:val="6C9402E1"/>
    <w:rsid w:val="74E05C5A"/>
    <w:rsid w:val="75051529"/>
    <w:rsid w:val="756274F0"/>
    <w:rsid w:val="765C05C3"/>
    <w:rsid w:val="7AA80E99"/>
    <w:rsid w:val="7B4524BD"/>
    <w:rsid w:val="7D0F1E92"/>
    <w:rsid w:val="7D343316"/>
    <w:rsid w:val="7DF917AF"/>
    <w:rsid w:val="7E1507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3"/>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4"/>
    <w:link w:val="105"/>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4"/>
    <w:link w:val="122"/>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4"/>
    <w:link w:val="96"/>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4"/>
    <w:link w:val="109"/>
    <w:qFormat/>
    <w:uiPriority w:val="0"/>
    <w:pPr>
      <w:keepNext/>
      <w:keepLines/>
      <w:spacing w:before="280" w:after="290" w:line="376" w:lineRule="auto"/>
      <w:outlineLvl w:val="4"/>
    </w:pPr>
    <w:rPr>
      <w:b/>
      <w:sz w:val="28"/>
      <w:szCs w:val="20"/>
    </w:rPr>
  </w:style>
  <w:style w:type="paragraph" w:styleId="8">
    <w:name w:val="heading 6"/>
    <w:basedOn w:val="1"/>
    <w:next w:val="4"/>
    <w:link w:val="94"/>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4"/>
    <w:link w:val="114"/>
    <w:qFormat/>
    <w:uiPriority w:val="0"/>
    <w:pPr>
      <w:keepNext/>
      <w:keepLines/>
      <w:spacing w:before="240" w:after="64" w:line="320" w:lineRule="auto"/>
      <w:outlineLvl w:val="6"/>
    </w:pPr>
    <w:rPr>
      <w:b/>
      <w:sz w:val="24"/>
      <w:szCs w:val="20"/>
    </w:rPr>
  </w:style>
  <w:style w:type="paragraph" w:styleId="10">
    <w:name w:val="heading 8"/>
    <w:basedOn w:val="1"/>
    <w:next w:val="4"/>
    <w:link w:val="101"/>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4"/>
    <w:link w:val="93"/>
    <w:qFormat/>
    <w:uiPriority w:val="0"/>
    <w:pPr>
      <w:keepNext/>
      <w:keepLines/>
      <w:spacing w:before="240" w:after="64" w:line="320" w:lineRule="auto"/>
      <w:outlineLvl w:val="8"/>
    </w:pPr>
    <w:rPr>
      <w:rFonts w:ascii="Arial" w:hAnsi="Arial" w:eastAsia="黑体"/>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16"/>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qFormat/>
    <w:uiPriority w:val="0"/>
    <w:pPr>
      <w:ind w:left="1200" w:leftChars="1200"/>
    </w:pPr>
    <w:rPr>
      <w:rFonts w:ascii="Calibri" w:hAnsi="Calibri"/>
      <w:szCs w:val="22"/>
    </w:rPr>
  </w:style>
  <w:style w:type="paragraph" w:styleId="13">
    <w:name w:val="caption"/>
    <w:basedOn w:val="1"/>
    <w:next w:val="1"/>
    <w:qFormat/>
    <w:uiPriority w:val="0"/>
    <w:pPr>
      <w:spacing w:line="360" w:lineRule="auto"/>
    </w:pPr>
    <w:rPr>
      <w:rFonts w:ascii="Arial" w:hAnsi="Arial" w:eastAsia="黑体" w:cs="Arial"/>
      <w:sz w:val="20"/>
      <w:szCs w:val="20"/>
    </w:rPr>
  </w:style>
  <w:style w:type="paragraph" w:styleId="14">
    <w:name w:val="List Bullet"/>
    <w:basedOn w:val="1"/>
    <w:qFormat/>
    <w:uiPriority w:val="0"/>
    <w:pPr>
      <w:tabs>
        <w:tab w:val="left" w:pos="360"/>
        <w:tab w:val="left" w:pos="1320"/>
      </w:tabs>
      <w:spacing w:line="360" w:lineRule="auto"/>
      <w:ind w:left="1320" w:hanging="420"/>
    </w:pPr>
    <w:rPr>
      <w:sz w:val="24"/>
    </w:rPr>
  </w:style>
  <w:style w:type="paragraph" w:styleId="15">
    <w:name w:val="Document Map"/>
    <w:basedOn w:val="1"/>
    <w:qFormat/>
    <w:uiPriority w:val="0"/>
    <w:pPr>
      <w:shd w:val="clear" w:color="auto" w:fill="000080"/>
    </w:pPr>
  </w:style>
  <w:style w:type="paragraph" w:styleId="16">
    <w:name w:val="annotation text"/>
    <w:basedOn w:val="1"/>
    <w:link w:val="134"/>
    <w:qFormat/>
    <w:uiPriority w:val="0"/>
    <w:pPr>
      <w:spacing w:line="360" w:lineRule="auto"/>
      <w:jc w:val="left"/>
    </w:pPr>
    <w:rPr>
      <w:sz w:val="24"/>
    </w:rPr>
  </w:style>
  <w:style w:type="paragraph" w:styleId="17">
    <w:name w:val="Body Text 3"/>
    <w:basedOn w:val="1"/>
    <w:link w:val="308"/>
    <w:qFormat/>
    <w:uiPriority w:val="0"/>
    <w:pPr>
      <w:widowControl/>
      <w:spacing w:after="120"/>
      <w:jc w:val="left"/>
    </w:pPr>
    <w:rPr>
      <w:kern w:val="0"/>
      <w:sz w:val="16"/>
      <w:szCs w:val="16"/>
    </w:rPr>
  </w:style>
  <w:style w:type="paragraph" w:styleId="18">
    <w:name w:val="Body Text"/>
    <w:basedOn w:val="1"/>
    <w:link w:val="79"/>
    <w:qFormat/>
    <w:uiPriority w:val="0"/>
    <w:pPr>
      <w:spacing w:after="120"/>
    </w:pPr>
  </w:style>
  <w:style w:type="paragraph" w:styleId="19">
    <w:name w:val="Body Text Indent"/>
    <w:basedOn w:val="1"/>
    <w:link w:val="126"/>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qFormat/>
    <w:uiPriority w:val="0"/>
    <w:pPr>
      <w:numPr>
        <w:ilvl w:val="0"/>
        <w:numId w:val="2"/>
      </w:numPr>
    </w:pPr>
  </w:style>
  <w:style w:type="paragraph" w:styleId="21">
    <w:name w:val="HTML Address"/>
    <w:basedOn w:val="1"/>
    <w:link w:val="132"/>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7"/>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6"/>
    <w:qFormat/>
    <w:uiPriority w:val="0"/>
    <w:pPr>
      <w:numPr>
        <w:ilvl w:val="0"/>
        <w:numId w:val="4"/>
      </w:numPr>
      <w:ind w:left="100" w:leftChars="2500"/>
    </w:pPr>
  </w:style>
  <w:style w:type="paragraph" w:styleId="27">
    <w:name w:val="Body Text Indent 2"/>
    <w:basedOn w:val="1"/>
    <w:link w:val="74"/>
    <w:qFormat/>
    <w:uiPriority w:val="0"/>
    <w:pPr>
      <w:spacing w:line="480" w:lineRule="exact"/>
      <w:ind w:left="810" w:firstLine="675"/>
    </w:pPr>
    <w:rPr>
      <w:rFonts w:eastAsia="仿宋_GB2312"/>
      <w:sz w:val="30"/>
      <w:szCs w:val="20"/>
    </w:rPr>
  </w:style>
  <w:style w:type="paragraph" w:styleId="28">
    <w:name w:val="Balloon Text"/>
    <w:basedOn w:val="1"/>
    <w:link w:val="89"/>
    <w:qFormat/>
    <w:uiPriority w:val="0"/>
    <w:rPr>
      <w:sz w:val="18"/>
      <w:szCs w:val="18"/>
    </w:rPr>
  </w:style>
  <w:style w:type="paragraph" w:styleId="29">
    <w:name w:val="footer"/>
    <w:basedOn w:val="1"/>
    <w:link w:val="135"/>
    <w:qFormat/>
    <w:uiPriority w:val="0"/>
    <w:pPr>
      <w:tabs>
        <w:tab w:val="center" w:pos="4153"/>
        <w:tab w:val="right" w:pos="8306"/>
      </w:tabs>
      <w:snapToGrid w:val="0"/>
      <w:jc w:val="left"/>
    </w:pPr>
    <w:rPr>
      <w:sz w:val="18"/>
      <w:szCs w:val="20"/>
    </w:rPr>
  </w:style>
  <w:style w:type="paragraph" w:styleId="30">
    <w:name w:val="header"/>
    <w:basedOn w:val="1"/>
    <w:link w:val="127"/>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5"/>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4"/>
    <w:qFormat/>
    <w:uiPriority w:val="0"/>
    <w:pPr>
      <w:spacing w:line="360" w:lineRule="auto"/>
    </w:pPr>
    <w:rPr>
      <w:rFonts w:ascii="仿宋_GB2312" w:eastAsia="仿宋_GB2312"/>
      <w:sz w:val="32"/>
    </w:rPr>
  </w:style>
  <w:style w:type="paragraph" w:styleId="41">
    <w:name w:val="HTML Preformatted"/>
    <w:basedOn w:val="1"/>
    <w:link w:val="13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8"/>
    <w:qFormat/>
    <w:uiPriority w:val="0"/>
    <w:pPr>
      <w:spacing w:before="240" w:after="60"/>
      <w:jc w:val="center"/>
      <w:outlineLvl w:val="0"/>
    </w:pPr>
    <w:rPr>
      <w:rFonts w:ascii="Cambria" w:hAnsi="Cambria"/>
      <w:b/>
      <w:bCs/>
      <w:sz w:val="32"/>
      <w:szCs w:val="32"/>
    </w:rPr>
  </w:style>
  <w:style w:type="paragraph" w:styleId="45">
    <w:name w:val="Body Text First Indent"/>
    <w:basedOn w:val="18"/>
    <w:link w:val="136"/>
    <w:qFormat/>
    <w:uiPriority w:val="0"/>
    <w:pPr>
      <w:ind w:firstLine="100" w:firstLineChars="100"/>
    </w:pPr>
    <w:rPr>
      <w:rFonts w:ascii="Calibri" w:hAnsi="Calibri"/>
      <w:szCs w:val="22"/>
    </w:rPr>
  </w:style>
  <w:style w:type="paragraph" w:styleId="46">
    <w:name w:val="Body Text First Indent 2"/>
    <w:basedOn w:val="19"/>
    <w:link w:val="63"/>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8">
    <w:name w:val="Table Grid"/>
    <w:basedOn w:val="47"/>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22"/>
    <w:rPr>
      <w:b/>
      <w:bCs/>
    </w:rPr>
  </w:style>
  <w:style w:type="character" w:styleId="51">
    <w:name w:val="page number"/>
    <w:basedOn w:val="49"/>
    <w:qFormat/>
    <w:uiPriority w:val="0"/>
  </w:style>
  <w:style w:type="character" w:styleId="52">
    <w:name w:val="Emphasis"/>
    <w:qFormat/>
    <w:uiPriority w:val="20"/>
    <w:rPr>
      <w:i/>
      <w:iCs/>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paragraph" w:customStyle="1" w:styleId="55">
    <w:name w:val="表格文字"/>
    <w:basedOn w:val="1"/>
    <w:next w:val="1"/>
    <w:qFormat/>
    <w:uiPriority w:val="0"/>
    <w:pPr>
      <w:numPr>
        <w:ilvl w:val="0"/>
        <w:numId w:val="5"/>
      </w:numPr>
      <w:tabs>
        <w:tab w:val="clear" w:pos="360"/>
      </w:tabs>
      <w:ind w:left="0" w:firstLine="0"/>
      <w:jc w:val="left"/>
    </w:pPr>
    <w:rPr>
      <w:rFonts w:ascii="Arial" w:hAnsi="Arial" w:eastAsia="仿宋_GB2312" w:cs="Arial"/>
      <w:sz w:val="18"/>
      <w:szCs w:val="18"/>
    </w:rPr>
  </w:style>
  <w:style w:type="character" w:customStyle="1" w:styleId="56">
    <w:name w:val="标题 2 Char"/>
    <w:qFormat/>
    <w:uiPriority w:val="0"/>
    <w:rPr>
      <w:rFonts w:ascii="黑体" w:hAnsi="宋体" w:eastAsia="黑体"/>
      <w:bCs/>
      <w:kern w:val="44"/>
      <w:sz w:val="21"/>
      <w:szCs w:val="24"/>
    </w:rPr>
  </w:style>
  <w:style w:type="paragraph" w:customStyle="1" w:styleId="57">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8">
    <w:name w:val="标题 1 Char Char"/>
    <w:qFormat/>
    <w:uiPriority w:val="0"/>
    <w:rPr>
      <w:rFonts w:eastAsia="宋体"/>
      <w:b/>
      <w:bCs/>
      <w:kern w:val="44"/>
      <w:sz w:val="44"/>
      <w:szCs w:val="44"/>
      <w:lang w:val="en-US" w:eastAsia="zh-CN" w:bidi="ar-SA"/>
    </w:rPr>
  </w:style>
  <w:style w:type="character" w:customStyle="1" w:styleId="59">
    <w:name w:val="标题 4 Char Char"/>
    <w:qFormat/>
    <w:uiPriority w:val="0"/>
    <w:rPr>
      <w:rFonts w:ascii="Arial" w:hAnsi="Arial" w:eastAsia="黑体"/>
      <w:b/>
      <w:bCs/>
      <w:kern w:val="2"/>
      <w:sz w:val="28"/>
      <w:szCs w:val="28"/>
      <w:lang w:val="en-US" w:eastAsia="zh-CN" w:bidi="ar-SA"/>
    </w:rPr>
  </w:style>
  <w:style w:type="character" w:customStyle="1" w:styleId="60">
    <w:name w:val="font11"/>
    <w:qFormat/>
    <w:uiPriority w:val="0"/>
    <w:rPr>
      <w:rFonts w:hint="eastAsia" w:ascii="宋体" w:hAnsi="宋体" w:eastAsia="宋体"/>
      <w:color w:val="000000"/>
      <w:sz w:val="24"/>
      <w:szCs w:val="24"/>
      <w:u w:val="none"/>
    </w:rPr>
  </w:style>
  <w:style w:type="character" w:customStyle="1" w:styleId="61">
    <w:name w:val="标题 5 Char Char"/>
    <w:qFormat/>
    <w:uiPriority w:val="0"/>
    <w:rPr>
      <w:rFonts w:eastAsia="宋体"/>
      <w:b/>
      <w:bCs/>
      <w:kern w:val="2"/>
      <w:sz w:val="28"/>
      <w:szCs w:val="28"/>
      <w:lang w:val="en-US" w:eastAsia="zh-CN" w:bidi="ar-SA"/>
    </w:rPr>
  </w:style>
  <w:style w:type="character" w:customStyle="1" w:styleId="62">
    <w:name w:val="ca-5"/>
    <w:basedOn w:val="49"/>
    <w:qFormat/>
    <w:uiPriority w:val="0"/>
  </w:style>
  <w:style w:type="character" w:customStyle="1" w:styleId="63">
    <w:name w:val="正文首行缩进 2 Char"/>
    <w:link w:val="46"/>
    <w:qFormat/>
    <w:uiPriority w:val="0"/>
    <w:rPr>
      <w:rFonts w:ascii="Calibri" w:hAnsi="Calibri" w:eastAsia="仿宋_GB2312"/>
      <w:kern w:val="2"/>
      <w:sz w:val="21"/>
      <w:szCs w:val="22"/>
      <w:lang w:val="en-US" w:eastAsia="zh-CN" w:bidi="ar-SA"/>
    </w:rPr>
  </w:style>
  <w:style w:type="character" w:customStyle="1" w:styleId="64">
    <w:name w:val="已访问的超链接1"/>
    <w:qFormat/>
    <w:uiPriority w:val="0"/>
    <w:rPr>
      <w:color w:val="800080"/>
      <w:u w:val="single"/>
    </w:rPr>
  </w:style>
  <w:style w:type="character" w:customStyle="1" w:styleId="65">
    <w:name w:val="正文首行缩进 Char Char"/>
    <w:qFormat/>
    <w:uiPriority w:val="0"/>
    <w:rPr>
      <w:rFonts w:eastAsia="仿宋_GB2312"/>
      <w:kern w:val="2"/>
      <w:sz w:val="28"/>
      <w:szCs w:val="24"/>
      <w:lang w:bidi="ar-SA"/>
    </w:rPr>
  </w:style>
  <w:style w:type="character" w:customStyle="1" w:styleId="66">
    <w:name w:val="日期 Char"/>
    <w:link w:val="26"/>
    <w:qFormat/>
    <w:uiPriority w:val="0"/>
    <w:rPr>
      <w:kern w:val="2"/>
      <w:sz w:val="21"/>
      <w:szCs w:val="24"/>
    </w:rPr>
  </w:style>
  <w:style w:type="character" w:customStyle="1" w:styleId="67">
    <w:name w:val="正文文本缩进 3 Char Char"/>
    <w:qFormat/>
    <w:uiPriority w:val="0"/>
    <w:rPr>
      <w:kern w:val="2"/>
      <w:sz w:val="16"/>
      <w:szCs w:val="16"/>
      <w:lang w:bidi="ar-SA"/>
    </w:rPr>
  </w:style>
  <w:style w:type="character" w:customStyle="1" w:styleId="68">
    <w:name w:val="文档正文 Char1"/>
    <w:link w:val="69"/>
    <w:qFormat/>
    <w:uiPriority w:val="0"/>
    <w:rPr>
      <w:rFonts w:ascii="Arial Narrow" w:hAnsi="Arial Narrow"/>
      <w:sz w:val="24"/>
      <w:szCs w:val="24"/>
      <w:lang w:val="en-US" w:eastAsia="zh-CN" w:bidi="ar-SA"/>
    </w:rPr>
  </w:style>
  <w:style w:type="paragraph" w:customStyle="1" w:styleId="69">
    <w:name w:val="文档正文"/>
    <w:link w:val="68"/>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70">
    <w:name w:val="正文文本 Char Char"/>
    <w:qFormat/>
    <w:uiPriority w:val="0"/>
    <w:rPr>
      <w:rFonts w:eastAsia="宋体"/>
      <w:kern w:val="2"/>
      <w:sz w:val="21"/>
      <w:szCs w:val="24"/>
      <w:lang w:val="en-US" w:eastAsia="zh-CN" w:bidi="ar-SA"/>
    </w:rPr>
  </w:style>
  <w:style w:type="character" w:customStyle="1" w:styleId="71">
    <w:name w:val="样式 样式 宋体 小四 行距: 1.5 倍行距 + ˎ̥ 黑色 Char Char"/>
    <w:link w:val="72"/>
    <w:qFormat/>
    <w:uiPriority w:val="0"/>
    <w:rPr>
      <w:rFonts w:ascii="Calibri" w:hAnsi="Calibri" w:eastAsia="仿宋_GB2312"/>
      <w:kern w:val="2"/>
      <w:sz w:val="21"/>
      <w:szCs w:val="22"/>
      <w:lang w:val="en-US" w:eastAsia="zh-CN" w:bidi="ar-SA"/>
    </w:rPr>
  </w:style>
  <w:style w:type="paragraph" w:customStyle="1" w:styleId="72">
    <w:name w:val="样式 样式 宋体 小四 行距: 1.5 倍行距 + ˎ̥ 黑色"/>
    <w:basedOn w:val="46"/>
    <w:link w:val="71"/>
    <w:qFormat/>
    <w:uiPriority w:val="0"/>
  </w:style>
  <w:style w:type="character" w:customStyle="1" w:styleId="73">
    <w:name w:val="style71"/>
    <w:qFormat/>
    <w:uiPriority w:val="0"/>
    <w:rPr>
      <w:sz w:val="21"/>
      <w:szCs w:val="21"/>
    </w:rPr>
  </w:style>
  <w:style w:type="character" w:customStyle="1" w:styleId="74">
    <w:name w:val="正文文本缩进 2 Char"/>
    <w:link w:val="27"/>
    <w:qFormat/>
    <w:uiPriority w:val="0"/>
    <w:rPr>
      <w:rFonts w:eastAsia="仿宋_GB2312"/>
      <w:kern w:val="2"/>
      <w:sz w:val="30"/>
      <w:lang w:val="en-US" w:eastAsia="zh-CN" w:bidi="ar-SA"/>
    </w:rPr>
  </w:style>
  <w:style w:type="character" w:customStyle="1" w:styleId="75">
    <w:name w:val="正文文本缩进 3 Char"/>
    <w:link w:val="37"/>
    <w:qFormat/>
    <w:uiPriority w:val="0"/>
    <w:rPr>
      <w:rFonts w:ascii="宋体" w:hAnsi="宋体" w:eastAsia="宋体"/>
      <w:kern w:val="2"/>
      <w:sz w:val="21"/>
      <w:szCs w:val="24"/>
      <w:lang w:val="en-US" w:eastAsia="zh-CN" w:bidi="ar-SA"/>
    </w:rPr>
  </w:style>
  <w:style w:type="character" w:customStyle="1" w:styleId="76">
    <w:name w:val="ca-9"/>
    <w:basedOn w:val="49"/>
    <w:qFormat/>
    <w:uiPriority w:val="0"/>
  </w:style>
  <w:style w:type="character" w:customStyle="1" w:styleId="77">
    <w:name w:val="纯文本 Char"/>
    <w:link w:val="24"/>
    <w:qFormat/>
    <w:uiPriority w:val="0"/>
    <w:rPr>
      <w:rFonts w:ascii="宋体" w:hAnsi="Courier New" w:eastAsia="宋体"/>
      <w:kern w:val="2"/>
      <w:sz w:val="21"/>
      <w:lang w:val="en-US" w:eastAsia="zh-CN" w:bidi="ar-SA"/>
    </w:rPr>
  </w:style>
  <w:style w:type="character" w:customStyle="1" w:styleId="78">
    <w:name w:val="页脚 Char Char"/>
    <w:qFormat/>
    <w:uiPriority w:val="0"/>
    <w:rPr>
      <w:rFonts w:eastAsia="宋体"/>
      <w:sz w:val="18"/>
      <w:szCs w:val="18"/>
      <w:lang w:bidi="ar-SA"/>
    </w:rPr>
  </w:style>
  <w:style w:type="character" w:customStyle="1" w:styleId="79">
    <w:name w:val="正文文本 Char"/>
    <w:link w:val="18"/>
    <w:qFormat/>
    <w:uiPriority w:val="0"/>
    <w:rPr>
      <w:rFonts w:eastAsia="宋体"/>
      <w:kern w:val="2"/>
      <w:sz w:val="21"/>
      <w:szCs w:val="24"/>
      <w:lang w:val="en-US" w:eastAsia="zh-CN" w:bidi="ar-SA"/>
    </w:rPr>
  </w:style>
  <w:style w:type="character" w:customStyle="1" w:styleId="80">
    <w:name w:val="标题 2 Char Char"/>
    <w:qFormat/>
    <w:uiPriority w:val="0"/>
    <w:rPr>
      <w:rFonts w:ascii="Cambria" w:hAnsi="Cambria" w:eastAsia="宋体"/>
      <w:b/>
      <w:bCs/>
      <w:kern w:val="2"/>
      <w:sz w:val="32"/>
      <w:szCs w:val="32"/>
      <w:lang w:val="en-US" w:eastAsia="zh-CN" w:bidi="ar-SA"/>
    </w:rPr>
  </w:style>
  <w:style w:type="character" w:customStyle="1" w:styleId="81">
    <w:name w:val="标题 1 1 Char"/>
    <w:qFormat/>
    <w:uiPriority w:val="0"/>
    <w:rPr>
      <w:rFonts w:ascii="黑体" w:eastAsia="黑体"/>
      <w:bCs/>
      <w:kern w:val="44"/>
      <w:sz w:val="24"/>
      <w:lang w:val="en-US" w:eastAsia="zh-CN" w:bidi="ar-SA"/>
    </w:rPr>
  </w:style>
  <w:style w:type="character" w:customStyle="1" w:styleId="82">
    <w:name w:val="Char Char14"/>
    <w:qFormat/>
    <w:uiPriority w:val="0"/>
    <w:rPr>
      <w:rFonts w:ascii="宋体" w:eastAsia="宋体"/>
      <w:sz w:val="34"/>
      <w:lang w:val="en-US" w:eastAsia="zh-CN" w:bidi="ar-SA"/>
    </w:rPr>
  </w:style>
  <w:style w:type="character" w:customStyle="1" w:styleId="83">
    <w:name w:val="content"/>
    <w:qFormat/>
    <w:uiPriority w:val="0"/>
  </w:style>
  <w:style w:type="character" w:customStyle="1" w:styleId="84">
    <w:name w:val="Char Char5"/>
    <w:qFormat/>
    <w:uiPriority w:val="0"/>
    <w:rPr>
      <w:rFonts w:eastAsia="宋体"/>
      <w:kern w:val="2"/>
      <w:sz w:val="18"/>
      <w:lang w:val="en-US" w:eastAsia="zh-CN" w:bidi="ar-SA"/>
    </w:rPr>
  </w:style>
  <w:style w:type="character" w:customStyle="1" w:styleId="85">
    <w:name w:val="c_666"/>
    <w:basedOn w:val="49"/>
    <w:qFormat/>
    <w:uiPriority w:val="0"/>
  </w:style>
  <w:style w:type="character" w:customStyle="1" w:styleId="86">
    <w:name w:val="ALT+Z Char"/>
    <w:qFormat/>
    <w:uiPriority w:val="0"/>
    <w:rPr>
      <w:rFonts w:ascii="宋体"/>
      <w:sz w:val="34"/>
    </w:rPr>
  </w:style>
  <w:style w:type="character" w:customStyle="1" w:styleId="87">
    <w:name w:val="正文（缩进） Char Char"/>
    <w:link w:val="88"/>
    <w:qFormat/>
    <w:uiPriority w:val="0"/>
    <w:rPr>
      <w:rFonts w:eastAsia="宋体"/>
      <w:kern w:val="2"/>
      <w:sz w:val="24"/>
      <w:szCs w:val="24"/>
      <w:lang w:val="en-US" w:eastAsia="zh-CN" w:bidi="ar-SA"/>
    </w:rPr>
  </w:style>
  <w:style w:type="paragraph" w:customStyle="1" w:styleId="88">
    <w:name w:val="正文（缩进）"/>
    <w:basedOn w:val="1"/>
    <w:link w:val="87"/>
    <w:qFormat/>
    <w:uiPriority w:val="0"/>
    <w:pPr>
      <w:spacing w:beforeLines="50" w:afterLines="50" w:line="360" w:lineRule="auto"/>
      <w:ind w:firstLine="480" w:firstLineChars="200"/>
    </w:pPr>
    <w:rPr>
      <w:sz w:val="24"/>
    </w:rPr>
  </w:style>
  <w:style w:type="character" w:customStyle="1" w:styleId="89">
    <w:name w:val="批注框文本 Char"/>
    <w:link w:val="28"/>
    <w:qFormat/>
    <w:uiPriority w:val="0"/>
    <w:rPr>
      <w:rFonts w:eastAsia="宋体"/>
      <w:kern w:val="2"/>
      <w:sz w:val="18"/>
      <w:szCs w:val="18"/>
      <w:lang w:val="en-US" w:eastAsia="zh-CN" w:bidi="ar-SA"/>
    </w:rPr>
  </w:style>
  <w:style w:type="character" w:customStyle="1" w:styleId="90">
    <w:name w:val="表格内容"/>
    <w:qFormat/>
    <w:uiPriority w:val="0"/>
    <w:rPr>
      <w:sz w:val="24"/>
    </w:rPr>
  </w:style>
  <w:style w:type="character" w:customStyle="1" w:styleId="91">
    <w:name w:val="ca-8"/>
    <w:basedOn w:val="49"/>
    <w:qFormat/>
    <w:uiPriority w:val="0"/>
  </w:style>
  <w:style w:type="character" w:customStyle="1" w:styleId="92">
    <w:name w:val="不明显参考1"/>
    <w:qFormat/>
    <w:uiPriority w:val="0"/>
    <w:rPr>
      <w:smallCaps/>
      <w:color w:val="C0504D"/>
      <w:u w:val="single"/>
    </w:rPr>
  </w:style>
  <w:style w:type="character" w:customStyle="1" w:styleId="93">
    <w:name w:val="标题 9 Char"/>
    <w:link w:val="11"/>
    <w:qFormat/>
    <w:uiPriority w:val="0"/>
    <w:rPr>
      <w:rFonts w:ascii="Arial" w:hAnsi="Arial" w:eastAsia="黑体"/>
      <w:kern w:val="2"/>
      <w:sz w:val="21"/>
      <w:lang w:val="en-US" w:eastAsia="zh-CN" w:bidi="ar-SA"/>
    </w:rPr>
  </w:style>
  <w:style w:type="character" w:customStyle="1" w:styleId="94">
    <w:name w:val="标题 6 Char"/>
    <w:link w:val="8"/>
    <w:qFormat/>
    <w:uiPriority w:val="0"/>
    <w:rPr>
      <w:rFonts w:ascii="Arial" w:hAnsi="Arial" w:eastAsia="黑体"/>
      <w:b/>
      <w:kern w:val="2"/>
      <w:sz w:val="24"/>
      <w:lang w:val="en-US" w:eastAsia="zh-CN" w:bidi="ar-SA"/>
    </w:rPr>
  </w:style>
  <w:style w:type="character" w:customStyle="1" w:styleId="95">
    <w:name w:val="ca-10"/>
    <w:basedOn w:val="49"/>
    <w:qFormat/>
    <w:uiPriority w:val="0"/>
  </w:style>
  <w:style w:type="character" w:customStyle="1" w:styleId="96">
    <w:name w:val="标题 4 Char"/>
    <w:link w:val="6"/>
    <w:qFormat/>
    <w:uiPriority w:val="0"/>
    <w:rPr>
      <w:rFonts w:ascii="Arial" w:hAnsi="Arial" w:eastAsia="黑体"/>
      <w:b/>
      <w:kern w:val="2"/>
      <w:sz w:val="28"/>
      <w:lang w:val="en-US" w:eastAsia="zh-CN" w:bidi="ar-SA"/>
    </w:rPr>
  </w:style>
  <w:style w:type="character" w:customStyle="1" w:styleId="97">
    <w:name w:val="批注文字 Char Char"/>
    <w:qFormat/>
    <w:uiPriority w:val="0"/>
    <w:rPr>
      <w:kern w:val="2"/>
      <w:sz w:val="21"/>
      <w:lang w:bidi="ar-SA"/>
    </w:rPr>
  </w:style>
  <w:style w:type="character" w:customStyle="1" w:styleId="98">
    <w:name w:val="style18"/>
    <w:qFormat/>
    <w:uiPriority w:val="0"/>
  </w:style>
  <w:style w:type="character" w:customStyle="1" w:styleId="99">
    <w:name w:val="font21"/>
    <w:qFormat/>
    <w:uiPriority w:val="0"/>
    <w:rPr>
      <w:rFonts w:hint="default" w:ascii="Arial" w:hAnsi="Arial" w:cs="Arial"/>
      <w:color w:val="000000"/>
      <w:sz w:val="24"/>
      <w:szCs w:val="24"/>
      <w:u w:val="none"/>
    </w:rPr>
  </w:style>
  <w:style w:type="character" w:customStyle="1" w:styleId="100">
    <w:name w:val="ca-11"/>
    <w:basedOn w:val="49"/>
    <w:qFormat/>
    <w:uiPriority w:val="0"/>
  </w:style>
  <w:style w:type="character" w:customStyle="1" w:styleId="101">
    <w:name w:val="标题 8 Char"/>
    <w:link w:val="10"/>
    <w:qFormat/>
    <w:uiPriority w:val="0"/>
    <w:rPr>
      <w:rFonts w:ascii="Arial" w:hAnsi="Arial" w:eastAsia="黑体"/>
      <w:kern w:val="2"/>
      <w:sz w:val="24"/>
      <w:lang w:val="en-US" w:eastAsia="zh-CN" w:bidi="ar-SA"/>
    </w:rPr>
  </w:style>
  <w:style w:type="character" w:customStyle="1" w:styleId="102">
    <w:name w:val="类目1 Char Char"/>
    <w:link w:val="103"/>
    <w:qFormat/>
    <w:uiPriority w:val="0"/>
    <w:rPr>
      <w:b/>
      <w:color w:val="17365D"/>
      <w:kern w:val="2"/>
      <w:sz w:val="28"/>
      <w:szCs w:val="28"/>
      <w:lang w:bidi="ar-SA"/>
    </w:rPr>
  </w:style>
  <w:style w:type="paragraph" w:customStyle="1" w:styleId="103">
    <w:name w:val="类目1"/>
    <w:basedOn w:val="1"/>
    <w:link w:val="102"/>
    <w:qFormat/>
    <w:uiPriority w:val="0"/>
    <w:pPr>
      <w:adjustRightInd w:val="0"/>
      <w:snapToGrid w:val="0"/>
      <w:spacing w:line="220" w:lineRule="atLeast"/>
    </w:pPr>
    <w:rPr>
      <w:b/>
      <w:color w:val="17365D"/>
      <w:sz w:val="28"/>
      <w:szCs w:val="28"/>
    </w:rPr>
  </w:style>
  <w:style w:type="character" w:customStyle="1" w:styleId="104">
    <w:name w:val="正文文本 2 Char"/>
    <w:link w:val="40"/>
    <w:qFormat/>
    <w:uiPriority w:val="0"/>
    <w:rPr>
      <w:rFonts w:ascii="仿宋_GB2312" w:eastAsia="仿宋_GB2312"/>
      <w:kern w:val="2"/>
      <w:sz w:val="32"/>
      <w:szCs w:val="24"/>
      <w:lang w:val="en-US" w:eastAsia="zh-CN" w:bidi="ar-SA"/>
    </w:rPr>
  </w:style>
  <w:style w:type="character" w:customStyle="1" w:styleId="105">
    <w:name w:val="标题 2 Char1"/>
    <w:link w:val="3"/>
    <w:qFormat/>
    <w:uiPriority w:val="0"/>
    <w:rPr>
      <w:rFonts w:ascii="黑体" w:hAnsi="宋体" w:eastAsia="黑体"/>
      <w:bCs/>
      <w:kern w:val="44"/>
      <w:sz w:val="21"/>
      <w:szCs w:val="24"/>
    </w:rPr>
  </w:style>
  <w:style w:type="character" w:customStyle="1" w:styleId="106">
    <w:name w:val="lineitems1"/>
    <w:qFormat/>
    <w:uiPriority w:val="0"/>
    <w:rPr>
      <w:sz w:val="17"/>
      <w:szCs w:val="17"/>
    </w:rPr>
  </w:style>
  <w:style w:type="character" w:customStyle="1" w:styleId="107">
    <w:name w:val="题注 Char1"/>
    <w:qFormat/>
    <w:uiPriority w:val="0"/>
    <w:rPr>
      <w:rFonts w:ascii="Arial" w:hAnsi="Arial" w:eastAsia="宋体" w:cs="Arial"/>
      <w:kern w:val="2"/>
      <w:lang w:val="en-US" w:eastAsia="zh-CN" w:bidi="ar-SA"/>
    </w:rPr>
  </w:style>
  <w:style w:type="character" w:customStyle="1" w:styleId="108">
    <w:name w:val="标题 3 Char Char"/>
    <w:qFormat/>
    <w:uiPriority w:val="0"/>
    <w:rPr>
      <w:rFonts w:eastAsia="宋体"/>
      <w:b/>
      <w:bCs/>
      <w:kern w:val="2"/>
      <w:sz w:val="32"/>
      <w:szCs w:val="32"/>
      <w:lang w:val="en-US" w:eastAsia="zh-CN" w:bidi="ar-SA"/>
    </w:rPr>
  </w:style>
  <w:style w:type="character" w:customStyle="1" w:styleId="109">
    <w:name w:val="标题 5 Char"/>
    <w:link w:val="7"/>
    <w:qFormat/>
    <w:uiPriority w:val="0"/>
    <w:rPr>
      <w:rFonts w:eastAsia="宋体"/>
      <w:b/>
      <w:kern w:val="2"/>
      <w:sz w:val="28"/>
      <w:lang w:val="en-US" w:eastAsia="zh-CN" w:bidi="ar-SA"/>
    </w:rPr>
  </w:style>
  <w:style w:type="character" w:customStyle="1" w:styleId="110">
    <w:name w:val="p12"/>
    <w:basedOn w:val="49"/>
    <w:qFormat/>
    <w:uiPriority w:val="0"/>
  </w:style>
  <w:style w:type="character" w:customStyle="1" w:styleId="111">
    <w:name w:val="正文缩进 Char2"/>
    <w:link w:val="112"/>
    <w:qFormat/>
    <w:uiPriority w:val="0"/>
    <w:rPr>
      <w:rFonts w:ascii="宋体" w:eastAsia="宋体"/>
      <w:sz w:val="34"/>
      <w:lang w:bidi="ar-SA"/>
    </w:rPr>
  </w:style>
  <w:style w:type="paragraph" w:customStyle="1" w:styleId="112">
    <w:name w:val="Normal Indent1"/>
    <w:basedOn w:val="1"/>
    <w:link w:val="111"/>
    <w:qFormat/>
    <w:uiPriority w:val="0"/>
    <w:pPr>
      <w:autoSpaceDE w:val="0"/>
      <w:autoSpaceDN w:val="0"/>
      <w:adjustRightInd w:val="0"/>
      <w:ind w:firstLine="420"/>
      <w:jc w:val="left"/>
      <w:textAlignment w:val="baseline"/>
    </w:pPr>
    <w:rPr>
      <w:rFonts w:ascii="宋体"/>
      <w:kern w:val="0"/>
      <w:sz w:val="34"/>
      <w:szCs w:val="20"/>
    </w:rPr>
  </w:style>
  <w:style w:type="character" w:customStyle="1" w:styleId="113">
    <w:name w:val="标题 9 Char Char"/>
    <w:qFormat/>
    <w:uiPriority w:val="0"/>
    <w:rPr>
      <w:rFonts w:ascii="Arial" w:hAnsi="Arial" w:eastAsia="黑体"/>
      <w:kern w:val="2"/>
      <w:sz w:val="21"/>
      <w:szCs w:val="21"/>
      <w:lang w:val="en-US" w:eastAsia="zh-CN" w:bidi="ar-SA"/>
    </w:rPr>
  </w:style>
  <w:style w:type="character" w:customStyle="1" w:styleId="114">
    <w:name w:val="标题 7 Char"/>
    <w:link w:val="9"/>
    <w:qFormat/>
    <w:uiPriority w:val="0"/>
    <w:rPr>
      <w:rFonts w:eastAsia="宋体"/>
      <w:b/>
      <w:kern w:val="2"/>
      <w:sz w:val="24"/>
      <w:lang w:val="en-US" w:eastAsia="zh-CN" w:bidi="ar-SA"/>
    </w:rPr>
  </w:style>
  <w:style w:type="character" w:customStyle="1" w:styleId="115">
    <w:name w:val="flname7"/>
    <w:basedOn w:val="49"/>
    <w:qFormat/>
    <w:uiPriority w:val="0"/>
  </w:style>
  <w:style w:type="character" w:customStyle="1" w:styleId="116">
    <w:name w:val="正文缩进 Char"/>
    <w:link w:val="4"/>
    <w:qFormat/>
    <w:uiPriority w:val="0"/>
    <w:rPr>
      <w:rFonts w:ascii="宋体" w:eastAsia="宋体"/>
      <w:sz w:val="34"/>
      <w:lang w:val="en-US" w:eastAsia="zh-CN" w:bidi="ar-SA"/>
    </w:rPr>
  </w:style>
  <w:style w:type="character" w:customStyle="1" w:styleId="117">
    <w:name w:val="样式5 Char Char"/>
    <w:link w:val="118"/>
    <w:qFormat/>
    <w:uiPriority w:val="0"/>
    <w:rPr>
      <w:rFonts w:ascii="宋体" w:hAnsi="宋体" w:eastAsia="宋体" w:cs="Arial"/>
      <w:b/>
      <w:kern w:val="2"/>
      <w:sz w:val="24"/>
      <w:szCs w:val="24"/>
      <w:lang w:val="en-US" w:eastAsia="zh-CN" w:bidi="ar-SA"/>
    </w:rPr>
  </w:style>
  <w:style w:type="paragraph" w:customStyle="1" w:styleId="118">
    <w:name w:val="样式5"/>
    <w:basedOn w:val="1"/>
    <w:link w:val="117"/>
    <w:qFormat/>
    <w:uiPriority w:val="0"/>
    <w:pPr>
      <w:spacing w:line="400" w:lineRule="exact"/>
      <w:ind w:left="482"/>
    </w:pPr>
    <w:rPr>
      <w:rFonts w:ascii="宋体" w:hAnsi="宋体" w:cs="Arial"/>
      <w:b/>
      <w:sz w:val="24"/>
    </w:rPr>
  </w:style>
  <w:style w:type="character" w:customStyle="1" w:styleId="119">
    <w:name w:val="text1"/>
    <w:qFormat/>
    <w:uiPriority w:val="0"/>
    <w:rPr>
      <w:sz w:val="20"/>
      <w:szCs w:val="20"/>
    </w:rPr>
  </w:style>
  <w:style w:type="character" w:customStyle="1" w:styleId="120">
    <w:name w:val="样式2"/>
    <w:qFormat/>
    <w:uiPriority w:val="0"/>
    <w:rPr>
      <w:rFonts w:eastAsia="华文楷体"/>
      <w:b/>
      <w:sz w:val="32"/>
    </w:rPr>
  </w:style>
  <w:style w:type="character" w:customStyle="1" w:styleId="121">
    <w:name w:val="页眉 Char Char"/>
    <w:qFormat/>
    <w:uiPriority w:val="0"/>
    <w:rPr>
      <w:rFonts w:eastAsia="宋体"/>
      <w:sz w:val="18"/>
      <w:szCs w:val="18"/>
      <w:lang w:bidi="ar-SA"/>
    </w:rPr>
  </w:style>
  <w:style w:type="character" w:customStyle="1" w:styleId="122">
    <w:name w:val="标题 3 Char"/>
    <w:link w:val="5"/>
    <w:qFormat/>
    <w:uiPriority w:val="0"/>
    <w:rPr>
      <w:rFonts w:ascii="黑体" w:eastAsia="黑体"/>
      <w:bCs/>
      <w:color w:val="000000"/>
      <w:kern w:val="2"/>
      <w:sz w:val="21"/>
      <w:szCs w:val="24"/>
    </w:rPr>
  </w:style>
  <w:style w:type="character" w:customStyle="1" w:styleId="123">
    <w:name w:val="书籍标题3 Char1"/>
    <w:link w:val="124"/>
    <w:qFormat/>
    <w:uiPriority w:val="0"/>
    <w:rPr>
      <w:b/>
      <w:bCs/>
      <w:spacing w:val="20"/>
      <w:kern w:val="2"/>
      <w:sz w:val="28"/>
      <w:szCs w:val="28"/>
    </w:rPr>
  </w:style>
  <w:style w:type="paragraph" w:customStyle="1" w:styleId="124">
    <w:name w:val="书籍标题3"/>
    <w:basedOn w:val="125"/>
    <w:link w:val="123"/>
    <w:qFormat/>
    <w:uiPriority w:val="0"/>
    <w:pPr>
      <w:numPr>
        <w:ilvl w:val="2"/>
      </w:numPr>
      <w:tabs>
        <w:tab w:val="left" w:pos="840"/>
      </w:tabs>
      <w:outlineLvl w:val="2"/>
    </w:pPr>
    <w:rPr>
      <w:rFonts w:cs="Times New Roman"/>
      <w:sz w:val="28"/>
      <w:szCs w:val="28"/>
    </w:rPr>
  </w:style>
  <w:style w:type="paragraph" w:customStyle="1" w:styleId="125">
    <w:name w:val="书籍标题2"/>
    <w:basedOn w:val="1"/>
    <w:qFormat/>
    <w:uiPriority w:val="0"/>
    <w:pPr>
      <w:numPr>
        <w:ilvl w:val="1"/>
        <w:numId w:val="6"/>
      </w:numPr>
      <w:spacing w:beforeLines="100" w:afterLines="100"/>
      <w:jc w:val="left"/>
      <w:outlineLvl w:val="1"/>
    </w:pPr>
    <w:rPr>
      <w:rFonts w:cs="宋体"/>
      <w:b/>
      <w:bCs/>
      <w:spacing w:val="20"/>
      <w:sz w:val="32"/>
      <w:szCs w:val="20"/>
    </w:rPr>
  </w:style>
  <w:style w:type="character" w:customStyle="1" w:styleId="126">
    <w:name w:val="正文文本缩进 Char"/>
    <w:link w:val="19"/>
    <w:qFormat/>
    <w:uiPriority w:val="0"/>
    <w:rPr>
      <w:rFonts w:ascii="仿宋_GB2312" w:eastAsia="仿宋_GB2312"/>
      <w:sz w:val="28"/>
      <w:lang w:val="en-US" w:eastAsia="zh-CN" w:bidi="ar-SA"/>
    </w:rPr>
  </w:style>
  <w:style w:type="character" w:customStyle="1" w:styleId="127">
    <w:name w:val="页眉 Char"/>
    <w:link w:val="30"/>
    <w:qFormat/>
    <w:uiPriority w:val="99"/>
    <w:rPr>
      <w:rFonts w:eastAsia="宋体"/>
      <w:kern w:val="2"/>
      <w:sz w:val="18"/>
      <w:lang w:val="en-US" w:eastAsia="zh-CN" w:bidi="ar-SA"/>
    </w:rPr>
  </w:style>
  <w:style w:type="character" w:customStyle="1" w:styleId="128">
    <w:name w:val="标题 Char"/>
    <w:link w:val="44"/>
    <w:qFormat/>
    <w:uiPriority w:val="0"/>
    <w:rPr>
      <w:rFonts w:ascii="Cambria" w:hAnsi="Cambria"/>
      <w:b/>
      <w:bCs/>
      <w:kern w:val="2"/>
      <w:sz w:val="32"/>
      <w:szCs w:val="32"/>
    </w:rPr>
  </w:style>
  <w:style w:type="character" w:customStyle="1" w:styleId="129">
    <w:name w:val="标题 8 Char Char"/>
    <w:qFormat/>
    <w:uiPriority w:val="0"/>
    <w:rPr>
      <w:rFonts w:ascii="Arial" w:hAnsi="Arial" w:eastAsia="黑体"/>
      <w:kern w:val="2"/>
      <w:sz w:val="24"/>
      <w:szCs w:val="24"/>
      <w:lang w:val="en-US" w:eastAsia="zh-CN" w:bidi="ar-SA"/>
    </w:rPr>
  </w:style>
  <w:style w:type="character" w:customStyle="1" w:styleId="130">
    <w:name w:val="正文文本缩进 2 Char Char"/>
    <w:qFormat/>
    <w:uiPriority w:val="0"/>
    <w:rPr>
      <w:rFonts w:eastAsia="仿宋_GB2312"/>
      <w:sz w:val="30"/>
      <w:lang w:bidi="ar-SA"/>
    </w:rPr>
  </w:style>
  <w:style w:type="character" w:customStyle="1" w:styleId="131">
    <w:name w:val="标题 7 Char Char"/>
    <w:qFormat/>
    <w:uiPriority w:val="0"/>
    <w:rPr>
      <w:rFonts w:eastAsia="宋体"/>
      <w:b/>
      <w:bCs/>
      <w:kern w:val="2"/>
      <w:sz w:val="24"/>
      <w:szCs w:val="24"/>
      <w:lang w:val="en-US" w:eastAsia="zh-CN" w:bidi="ar-SA"/>
    </w:rPr>
  </w:style>
  <w:style w:type="character" w:customStyle="1" w:styleId="132">
    <w:name w:val="HTML 地址 Char"/>
    <w:link w:val="21"/>
    <w:qFormat/>
    <w:uiPriority w:val="0"/>
    <w:rPr>
      <w:i/>
      <w:kern w:val="2"/>
      <w:sz w:val="21"/>
      <w:szCs w:val="24"/>
    </w:rPr>
  </w:style>
  <w:style w:type="character" w:customStyle="1" w:styleId="133">
    <w:name w:val="标题 1 Char"/>
    <w:link w:val="2"/>
    <w:qFormat/>
    <w:uiPriority w:val="0"/>
    <w:rPr>
      <w:rFonts w:ascii="黑体" w:eastAsia="黑体"/>
      <w:bCs/>
      <w:kern w:val="44"/>
      <w:sz w:val="24"/>
      <w:szCs w:val="24"/>
    </w:rPr>
  </w:style>
  <w:style w:type="character" w:customStyle="1" w:styleId="134">
    <w:name w:val="批注文字 Char"/>
    <w:link w:val="16"/>
    <w:qFormat/>
    <w:uiPriority w:val="0"/>
    <w:rPr>
      <w:kern w:val="2"/>
      <w:sz w:val="24"/>
      <w:szCs w:val="24"/>
    </w:rPr>
  </w:style>
  <w:style w:type="character" w:customStyle="1" w:styleId="135">
    <w:name w:val="页脚 Char"/>
    <w:link w:val="29"/>
    <w:qFormat/>
    <w:uiPriority w:val="0"/>
    <w:rPr>
      <w:rFonts w:eastAsia="宋体"/>
      <w:kern w:val="2"/>
      <w:sz w:val="18"/>
      <w:lang w:val="en-US" w:eastAsia="zh-CN" w:bidi="ar-SA"/>
    </w:rPr>
  </w:style>
  <w:style w:type="character" w:customStyle="1" w:styleId="136">
    <w:name w:val="正文首行缩进 Char"/>
    <w:link w:val="45"/>
    <w:qFormat/>
    <w:uiPriority w:val="0"/>
    <w:rPr>
      <w:rFonts w:ascii="Calibri" w:hAnsi="Calibri" w:eastAsia="宋体"/>
      <w:kern w:val="2"/>
      <w:sz w:val="21"/>
      <w:szCs w:val="22"/>
      <w:lang w:val="en-US" w:eastAsia="zh-CN" w:bidi="ar-SA"/>
    </w:rPr>
  </w:style>
  <w:style w:type="character" w:customStyle="1" w:styleId="137">
    <w:name w:val="纯文本 Char Char"/>
    <w:qFormat/>
    <w:uiPriority w:val="0"/>
    <w:rPr>
      <w:rFonts w:ascii="宋体" w:hAnsi="Courier New"/>
      <w:kern w:val="2"/>
      <w:sz w:val="21"/>
      <w:lang w:bidi="ar-SA"/>
    </w:rPr>
  </w:style>
  <w:style w:type="character" w:customStyle="1" w:styleId="138">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9">
    <w:name w:val="标题 6 Char Char"/>
    <w:qFormat/>
    <w:uiPriority w:val="0"/>
    <w:rPr>
      <w:rFonts w:ascii="Arial" w:hAnsi="Arial" w:eastAsia="黑体"/>
      <w:b/>
      <w:bCs/>
      <w:kern w:val="2"/>
      <w:sz w:val="24"/>
      <w:szCs w:val="24"/>
      <w:lang w:val="en-US" w:eastAsia="zh-CN" w:bidi="ar-SA"/>
    </w:rPr>
  </w:style>
  <w:style w:type="character" w:customStyle="1" w:styleId="140">
    <w:name w:val="细目1 Char Char"/>
    <w:link w:val="141"/>
    <w:qFormat/>
    <w:uiPriority w:val="0"/>
    <w:rPr>
      <w:b/>
      <w:color w:val="215868"/>
      <w:kern w:val="2"/>
      <w:sz w:val="24"/>
      <w:szCs w:val="24"/>
    </w:rPr>
  </w:style>
  <w:style w:type="paragraph" w:customStyle="1" w:styleId="141">
    <w:name w:val="细目1"/>
    <w:basedOn w:val="1"/>
    <w:link w:val="140"/>
    <w:qFormat/>
    <w:uiPriority w:val="0"/>
    <w:pPr>
      <w:numPr>
        <w:ilvl w:val="0"/>
        <w:numId w:val="7"/>
      </w:numPr>
      <w:tabs>
        <w:tab w:val="left" w:pos="1200"/>
        <w:tab w:val="clear" w:pos="1260"/>
      </w:tabs>
      <w:adjustRightInd w:val="0"/>
      <w:snapToGrid w:val="0"/>
      <w:spacing w:line="220" w:lineRule="atLeast"/>
    </w:pPr>
    <w:rPr>
      <w:b/>
      <w:color w:val="215868"/>
      <w:sz w:val="24"/>
    </w:rPr>
  </w:style>
  <w:style w:type="character" w:customStyle="1" w:styleId="142">
    <w:name w:val="Char Char9"/>
    <w:qFormat/>
    <w:uiPriority w:val="0"/>
    <w:rPr>
      <w:rFonts w:ascii="宋体" w:hAnsi="Courier New" w:eastAsia="宋体"/>
      <w:kern w:val="2"/>
      <w:sz w:val="21"/>
      <w:lang w:val="en-US" w:eastAsia="zh-CN" w:bidi="ar-SA"/>
    </w:rPr>
  </w:style>
  <w:style w:type="character" w:customStyle="1" w:styleId="143">
    <w:name w:val="apple-converted-space"/>
    <w:qFormat/>
    <w:uiPriority w:val="0"/>
    <w:rPr>
      <w:rFonts w:cs="Times New Roman"/>
    </w:rPr>
  </w:style>
  <w:style w:type="paragraph" w:customStyle="1" w:styleId="14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6">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8">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9">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50">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51">
    <w:name w:val="TOC 标题1"/>
    <w:basedOn w:val="2"/>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2">
    <w:name w:val="默认段落字体 Para Char Char Char Char Char Char Char Char Char Char"/>
    <w:basedOn w:val="1"/>
    <w:qFormat/>
    <w:uiPriority w:val="0"/>
    <w:rPr>
      <w:rFonts w:ascii="Tahoma" w:hAnsi="Tahoma"/>
      <w:sz w:val="24"/>
      <w:szCs w:val="20"/>
    </w:rPr>
  </w:style>
  <w:style w:type="paragraph" w:customStyle="1" w:styleId="15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4">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5">
    <w:name w:val="字元 字元"/>
    <w:basedOn w:val="1"/>
    <w:qFormat/>
    <w:uiPriority w:val="0"/>
    <w:pPr>
      <w:spacing w:line="360" w:lineRule="auto"/>
      <w:ind w:firstLine="200" w:firstLineChars="200"/>
    </w:pPr>
    <w:rPr>
      <w:rFonts w:ascii="宋体" w:hAnsi="宋体" w:cs="宋体"/>
      <w:sz w:val="24"/>
    </w:rPr>
  </w:style>
  <w:style w:type="paragraph" w:customStyle="1" w:styleId="15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7">
    <w:name w:val="正文序号 4"/>
    <w:basedOn w:val="1"/>
    <w:qFormat/>
    <w:uiPriority w:val="0"/>
    <w:pPr>
      <w:numPr>
        <w:ilvl w:val="3"/>
        <w:numId w:val="8"/>
      </w:numPr>
      <w:tabs>
        <w:tab w:val="left" w:pos="1469"/>
      </w:tabs>
      <w:spacing w:before="60"/>
    </w:pPr>
  </w:style>
  <w:style w:type="paragraph" w:customStyle="1" w:styleId="158">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9">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0">
    <w:name w:val="Char3"/>
    <w:basedOn w:val="1"/>
    <w:qFormat/>
    <w:uiPriority w:val="0"/>
  </w:style>
  <w:style w:type="paragraph" w:customStyle="1" w:styleId="161">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2">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
    <w:name w:val="Char28"/>
    <w:basedOn w:val="1"/>
    <w:qFormat/>
    <w:uiPriority w:val="0"/>
    <w:pPr>
      <w:adjustRightInd w:val="0"/>
      <w:spacing w:line="360" w:lineRule="auto"/>
    </w:pPr>
  </w:style>
  <w:style w:type="paragraph" w:customStyle="1" w:styleId="164">
    <w:name w:val="pa-14"/>
    <w:basedOn w:val="1"/>
    <w:qFormat/>
    <w:uiPriority w:val="0"/>
    <w:pPr>
      <w:widowControl/>
      <w:spacing w:before="150" w:after="150"/>
      <w:jc w:val="left"/>
    </w:pPr>
    <w:rPr>
      <w:rFonts w:ascii="宋体" w:hAnsi="宋体" w:cs="宋体"/>
      <w:kern w:val="0"/>
      <w:sz w:val="24"/>
    </w:rPr>
  </w:style>
  <w:style w:type="paragraph" w:customStyle="1" w:styleId="165">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6">
    <w:name w:val="Item List in Table"/>
    <w:basedOn w:val="1"/>
    <w:qFormat/>
    <w:uiPriority w:val="0"/>
    <w:pPr>
      <w:numPr>
        <w:ilvl w:val="0"/>
        <w:numId w:val="9"/>
      </w:numPr>
      <w:jc w:val="left"/>
    </w:pPr>
  </w:style>
  <w:style w:type="paragraph" w:customStyle="1" w:styleId="167">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8">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9">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7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1">
    <w:name w:val="默认段落字体 Para Char"/>
    <w:basedOn w:val="1"/>
    <w:qFormat/>
    <w:uiPriority w:val="0"/>
    <w:rPr>
      <w:rFonts w:ascii="Tahoma" w:hAnsi="Tahoma"/>
      <w:sz w:val="24"/>
      <w:szCs w:val="20"/>
    </w:rPr>
  </w:style>
  <w:style w:type="paragraph" w:customStyle="1" w:styleId="172">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3">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4">
    <w:name w:val="样式 正文缩进 + 首行缩进:  2 字符"/>
    <w:basedOn w:val="4"/>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5">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6">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7">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8">
    <w:name w:val="p0"/>
    <w:basedOn w:val="1"/>
    <w:qFormat/>
    <w:uiPriority w:val="0"/>
    <w:pPr>
      <w:widowControl/>
    </w:pPr>
    <w:rPr>
      <w:kern w:val="0"/>
      <w:szCs w:val="21"/>
    </w:rPr>
  </w:style>
  <w:style w:type="paragraph" w:customStyle="1" w:styleId="179">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0">
    <w:name w:val="默认段落字体 Para Char Char Char1 Char"/>
    <w:basedOn w:val="46"/>
    <w:qFormat/>
    <w:uiPriority w:val="0"/>
  </w:style>
  <w:style w:type="paragraph" w:customStyle="1" w:styleId="181">
    <w:name w:val="Char1"/>
    <w:basedOn w:val="1"/>
    <w:qFormat/>
    <w:uiPriority w:val="0"/>
    <w:pPr>
      <w:widowControl/>
      <w:spacing w:line="400" w:lineRule="exact"/>
      <w:jc w:val="center"/>
    </w:pPr>
    <w:rPr>
      <w:rFonts w:ascii="Verdana" w:hAnsi="Verdana"/>
      <w:kern w:val="0"/>
      <w:szCs w:val="20"/>
      <w:lang w:eastAsia="en-US"/>
    </w:rPr>
  </w:style>
  <w:style w:type="paragraph" w:customStyle="1" w:styleId="182">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4">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5">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6">
    <w:name w:val="列出段落1"/>
    <w:basedOn w:val="1"/>
    <w:qFormat/>
    <w:uiPriority w:val="0"/>
    <w:pPr>
      <w:ind w:firstLine="200" w:firstLineChars="200"/>
    </w:pPr>
    <w:rPr>
      <w:rFonts w:ascii="Calibri" w:hAnsi="Calibri"/>
      <w:szCs w:val="22"/>
    </w:rPr>
  </w:style>
  <w:style w:type="paragraph" w:customStyle="1" w:styleId="187">
    <w:name w:val="缺省文本"/>
    <w:basedOn w:val="1"/>
    <w:qFormat/>
    <w:uiPriority w:val="0"/>
    <w:pPr>
      <w:autoSpaceDE w:val="0"/>
      <w:autoSpaceDN w:val="0"/>
      <w:adjustRightInd w:val="0"/>
      <w:jc w:val="left"/>
    </w:pPr>
    <w:rPr>
      <w:kern w:val="0"/>
      <w:sz w:val="24"/>
    </w:rPr>
  </w:style>
  <w:style w:type="paragraph" w:customStyle="1" w:styleId="188">
    <w:name w:val="Char Char Char Char Char Char Char Char Char"/>
    <w:basedOn w:val="1"/>
    <w:qFormat/>
    <w:uiPriority w:val="0"/>
    <w:rPr>
      <w:sz w:val="28"/>
    </w:rPr>
  </w:style>
  <w:style w:type="paragraph" w:customStyle="1" w:styleId="189">
    <w:name w:val="书籍标题4"/>
    <w:basedOn w:val="124"/>
    <w:next w:val="1"/>
    <w:qFormat/>
    <w:uiPriority w:val="0"/>
    <w:pPr>
      <w:numPr>
        <w:ilvl w:val="3"/>
      </w:numPr>
      <w:tabs>
        <w:tab w:val="left" w:pos="2160"/>
      </w:tabs>
      <w:ind w:left="2160"/>
      <w:outlineLvl w:val="3"/>
    </w:pPr>
    <w:rPr>
      <w:sz w:val="24"/>
      <w:szCs w:val="24"/>
      <w:lang w:val="zh-CN"/>
    </w:rPr>
  </w:style>
  <w:style w:type="paragraph" w:customStyle="1" w:styleId="19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1">
    <w:name w:val="样式 书籍标题3 + Arial 段前: 1 行 段后: 1 行"/>
    <w:basedOn w:val="124"/>
    <w:qFormat/>
    <w:uiPriority w:val="0"/>
    <w:pPr>
      <w:numPr>
        <w:ilvl w:val="1"/>
        <w:numId w:val="10"/>
      </w:numPr>
      <w:spacing w:beforeLines="0" w:afterLines="0"/>
    </w:pPr>
    <w:rPr>
      <w:rFonts w:ascii="Arial" w:hAnsi="Arial" w:cs="宋体"/>
      <w:b w:val="0"/>
      <w:bCs w:val="0"/>
    </w:rPr>
  </w:style>
  <w:style w:type="paragraph" w:customStyle="1" w:styleId="192">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3">
    <w:name w:val="Char Char Char Char Char Char"/>
    <w:basedOn w:val="1"/>
    <w:qFormat/>
    <w:uiPriority w:val="0"/>
    <w:pPr>
      <w:widowControl/>
      <w:spacing w:after="160" w:line="240" w:lineRule="exact"/>
      <w:jc w:val="left"/>
    </w:pPr>
    <w:rPr>
      <w:sz w:val="32"/>
      <w:szCs w:val="20"/>
    </w:rPr>
  </w:style>
  <w:style w:type="paragraph" w:customStyle="1" w:styleId="194">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5">
    <w:name w:val="List Paragraph"/>
    <w:basedOn w:val="1"/>
    <w:qFormat/>
    <w:uiPriority w:val="0"/>
    <w:pPr>
      <w:ind w:firstLine="420" w:firstLineChars="200"/>
    </w:pPr>
  </w:style>
  <w:style w:type="paragraph" w:customStyle="1" w:styleId="196">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Char1 Char Char Char"/>
    <w:basedOn w:val="1"/>
    <w:qFormat/>
    <w:uiPriority w:val="0"/>
    <w:pPr>
      <w:ind w:left="1365" w:hanging="360"/>
    </w:pPr>
    <w:rPr>
      <w:sz w:val="24"/>
    </w:rPr>
  </w:style>
  <w:style w:type="paragraph" w:customStyle="1" w:styleId="198">
    <w:name w:val="MM Topic 6"/>
    <w:basedOn w:val="8"/>
    <w:qFormat/>
    <w:uiPriority w:val="0"/>
    <w:pPr>
      <w:numPr>
        <w:ilvl w:val="5"/>
        <w:numId w:val="11"/>
      </w:numPr>
      <w:tabs>
        <w:tab w:val="left" w:pos="425"/>
        <w:tab w:val="clear" w:pos="3260"/>
      </w:tabs>
      <w:spacing w:line="319" w:lineRule="auto"/>
    </w:pPr>
    <w:rPr>
      <w:bCs/>
      <w:szCs w:val="24"/>
    </w:rPr>
  </w:style>
  <w:style w:type="paragraph" w:customStyle="1" w:styleId="199">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0">
    <w:name w:val="书籍标题1"/>
    <w:basedOn w:val="1"/>
    <w:next w:val="1"/>
    <w:qFormat/>
    <w:uiPriority w:val="0"/>
    <w:pPr>
      <w:pageBreakBefore/>
      <w:widowControl/>
      <w:numPr>
        <w:ilvl w:val="0"/>
        <w:numId w:val="6"/>
      </w:numPr>
      <w:spacing w:beforeLines="200" w:afterLines="200"/>
      <w:jc w:val="center"/>
      <w:outlineLvl w:val="0"/>
    </w:pPr>
    <w:rPr>
      <w:rFonts w:eastAsia="黑体" w:cs="宋体"/>
      <w:b/>
      <w:bCs/>
      <w:spacing w:val="20"/>
      <w:kern w:val="44"/>
      <w:sz w:val="44"/>
      <w:szCs w:val="20"/>
    </w:rPr>
  </w:style>
  <w:style w:type="paragraph" w:customStyle="1" w:styleId="20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2">
    <w:name w:val="样式 标题 4Alt+41.1.1.1 Heading 4bulletblbbH44h4H41h41H42... Char"/>
    <w:basedOn w:val="6"/>
    <w:qFormat/>
    <w:uiPriority w:val="0"/>
    <w:pPr>
      <w:tabs>
        <w:tab w:val="left" w:pos="1914"/>
      </w:tabs>
      <w:spacing w:before="120" w:after="120"/>
      <w:ind w:left="1914" w:hanging="864"/>
    </w:pPr>
    <w:rPr>
      <w:rFonts w:ascii="宋体" w:hAnsi="宋体"/>
      <w:bCs/>
      <w:color w:val="000000"/>
      <w:szCs w:val="28"/>
    </w:rPr>
  </w:style>
  <w:style w:type="paragraph" w:customStyle="1" w:styleId="20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4">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6">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8">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9">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0">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1">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2">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13">
    <w:name w:val="pa-13"/>
    <w:basedOn w:val="1"/>
    <w:qFormat/>
    <w:uiPriority w:val="0"/>
    <w:pPr>
      <w:widowControl/>
      <w:spacing w:before="150" w:after="150"/>
      <w:jc w:val="left"/>
    </w:pPr>
    <w:rPr>
      <w:rFonts w:ascii="宋体" w:hAnsi="宋体" w:cs="宋体"/>
      <w:kern w:val="0"/>
      <w:sz w:val="24"/>
    </w:rPr>
  </w:style>
  <w:style w:type="paragraph" w:customStyle="1" w:styleId="214">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5">
    <w:name w:val="MM Topic 1"/>
    <w:basedOn w:val="2"/>
    <w:qFormat/>
    <w:uiPriority w:val="0"/>
    <w:pPr>
      <w:numPr>
        <w:numId w:val="12"/>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6">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7">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9">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20">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1">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2">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3">
    <w:name w:val="样式 标题 3"/>
    <w:basedOn w:val="5"/>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4">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6">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8">
    <w:name w:val="Char1 Char Char Char1"/>
    <w:basedOn w:val="1"/>
    <w:qFormat/>
    <w:uiPriority w:val="0"/>
    <w:pPr>
      <w:tabs>
        <w:tab w:val="left" w:pos="425"/>
      </w:tabs>
      <w:ind w:left="425" w:hanging="425"/>
    </w:pPr>
    <w:rPr>
      <w:sz w:val="24"/>
    </w:rPr>
  </w:style>
  <w:style w:type="paragraph" w:customStyle="1" w:styleId="22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30">
    <w:name w:val="Char"/>
    <w:basedOn w:val="1"/>
    <w:qFormat/>
    <w:uiPriority w:val="0"/>
    <w:pPr>
      <w:tabs>
        <w:tab w:val="left" w:pos="1365"/>
      </w:tabs>
      <w:ind w:left="1365" w:hanging="360"/>
    </w:pPr>
    <w:rPr>
      <w:sz w:val="24"/>
    </w:rPr>
  </w:style>
  <w:style w:type="paragraph" w:customStyle="1" w:styleId="231">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2">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3">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4">
    <w:name w:val="没有缩进（为图形使用）"/>
    <w:basedOn w:val="1"/>
    <w:qFormat/>
    <w:uiPriority w:val="0"/>
    <w:pPr>
      <w:numPr>
        <w:ilvl w:val="0"/>
        <w:numId w:val="13"/>
      </w:numPr>
      <w:tabs>
        <w:tab w:val="clear" w:pos="2040"/>
      </w:tabs>
      <w:spacing w:before="120" w:after="120" w:line="360" w:lineRule="auto"/>
      <w:ind w:left="0" w:firstLine="0"/>
    </w:pPr>
    <w:rPr>
      <w:rFonts w:cs="宋体"/>
      <w:sz w:val="24"/>
      <w:szCs w:val="20"/>
    </w:rPr>
  </w:style>
  <w:style w:type="paragraph" w:customStyle="1" w:styleId="23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6">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7">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8">
    <w:name w:val="样式1"/>
    <w:next w:val="15"/>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9">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40">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1">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2">
    <w:name w:val="Char Char Char Char Char Char Char Char Char1"/>
    <w:basedOn w:val="1"/>
    <w:qFormat/>
    <w:uiPriority w:val="0"/>
    <w:pPr>
      <w:widowControl/>
      <w:spacing w:after="160" w:line="240" w:lineRule="exact"/>
      <w:jc w:val="left"/>
    </w:pPr>
  </w:style>
  <w:style w:type="paragraph" w:customStyle="1" w:styleId="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5">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6">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8">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0">
    <w:name w:val="MM Topic 2"/>
    <w:basedOn w:val="3"/>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1">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4">
    <w:name w:val="font6"/>
    <w:basedOn w:val="1"/>
    <w:qFormat/>
    <w:uiPriority w:val="0"/>
    <w:pPr>
      <w:widowControl/>
      <w:spacing w:before="100" w:beforeAutospacing="1" w:after="100" w:afterAutospacing="1"/>
      <w:jc w:val="left"/>
    </w:pPr>
    <w:rPr>
      <w:kern w:val="0"/>
      <w:sz w:val="24"/>
    </w:rPr>
  </w:style>
  <w:style w:type="paragraph" w:customStyle="1" w:styleId="255">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6">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7">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8">
    <w:name w:val="样式 首行缩进:  0.85 厘米"/>
    <w:basedOn w:val="1"/>
    <w:qFormat/>
    <w:uiPriority w:val="0"/>
    <w:pPr>
      <w:spacing w:line="360" w:lineRule="auto"/>
      <w:ind w:firstLine="200" w:firstLineChars="200"/>
    </w:pPr>
    <w:rPr>
      <w:rFonts w:cs="宋体"/>
      <w:sz w:val="24"/>
      <w:szCs w:val="20"/>
    </w:rPr>
  </w:style>
  <w:style w:type="paragraph" w:customStyle="1" w:styleId="259">
    <w:name w:val="列举"/>
    <w:basedOn w:val="1"/>
    <w:qFormat/>
    <w:uiPriority w:val="0"/>
    <w:pPr>
      <w:numPr>
        <w:ilvl w:val="0"/>
        <w:numId w:val="15"/>
      </w:numPr>
      <w:spacing w:line="360" w:lineRule="auto"/>
    </w:pPr>
    <w:rPr>
      <w:rFonts w:ascii="宋体"/>
    </w:rPr>
  </w:style>
  <w:style w:type="paragraph" w:customStyle="1" w:styleId="260">
    <w:name w:val="正文1"/>
    <w:basedOn w:val="1"/>
    <w:qFormat/>
    <w:uiPriority w:val="0"/>
    <w:pPr>
      <w:spacing w:line="360" w:lineRule="auto"/>
    </w:pPr>
    <w:rPr>
      <w:rFonts w:ascii="宋体" w:hAnsi="宋体"/>
      <w:sz w:val="24"/>
    </w:rPr>
  </w:style>
  <w:style w:type="paragraph" w:customStyle="1" w:styleId="261">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2">
    <w:name w:val="正文缩进2字符"/>
    <w:basedOn w:val="45"/>
    <w:qFormat/>
    <w:uiPriority w:val="0"/>
    <w:pPr>
      <w:spacing w:after="0" w:line="360" w:lineRule="auto"/>
      <w:ind w:firstLine="200" w:firstLineChars="200"/>
    </w:pPr>
    <w:rPr>
      <w:sz w:val="24"/>
      <w:szCs w:val="24"/>
    </w:rPr>
  </w:style>
  <w:style w:type="paragraph" w:customStyle="1" w:styleId="263">
    <w:name w:val="font8"/>
    <w:basedOn w:val="1"/>
    <w:qFormat/>
    <w:uiPriority w:val="0"/>
    <w:pPr>
      <w:widowControl/>
      <w:spacing w:before="100" w:beforeAutospacing="1" w:after="100" w:afterAutospacing="1"/>
      <w:jc w:val="left"/>
    </w:pPr>
    <w:rPr>
      <w:kern w:val="0"/>
      <w:sz w:val="20"/>
      <w:szCs w:val="20"/>
    </w:rPr>
  </w:style>
  <w:style w:type="paragraph" w:customStyle="1" w:styleId="264">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5">
    <w:name w:val="pa-3"/>
    <w:basedOn w:val="1"/>
    <w:qFormat/>
    <w:uiPriority w:val="0"/>
    <w:pPr>
      <w:widowControl/>
      <w:spacing w:before="150" w:after="150"/>
      <w:jc w:val="left"/>
    </w:pPr>
    <w:rPr>
      <w:rFonts w:ascii="宋体" w:hAnsi="宋体" w:cs="宋体"/>
      <w:kern w:val="0"/>
      <w:sz w:val="24"/>
    </w:rPr>
  </w:style>
  <w:style w:type="paragraph" w:customStyle="1" w:styleId="266">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7">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0">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1">
    <w:name w:val="加点标题"/>
    <w:basedOn w:val="1"/>
    <w:qFormat/>
    <w:uiPriority w:val="0"/>
    <w:pPr>
      <w:numPr>
        <w:ilvl w:val="0"/>
        <w:numId w:val="18"/>
      </w:numPr>
      <w:spacing w:line="360" w:lineRule="auto"/>
    </w:pPr>
    <w:rPr>
      <w:sz w:val="24"/>
    </w:rPr>
  </w:style>
  <w:style w:type="paragraph" w:customStyle="1" w:styleId="272">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4">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5">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6">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8">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9">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0">
    <w:name w:val="MM Topic 3"/>
    <w:basedOn w:val="5"/>
    <w:qFormat/>
    <w:uiPriority w:val="0"/>
    <w:pPr>
      <w:widowControl w:val="0"/>
      <w:numPr>
        <w:numId w:val="11"/>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1">
    <w:name w:val="列出段落2"/>
    <w:basedOn w:val="1"/>
    <w:qFormat/>
    <w:uiPriority w:val="0"/>
    <w:pPr>
      <w:ind w:firstLine="420" w:firstLineChars="200"/>
    </w:pPr>
  </w:style>
  <w:style w:type="paragraph" w:customStyle="1" w:styleId="282">
    <w:name w:val="font15"/>
    <w:basedOn w:val="1"/>
    <w:qFormat/>
    <w:uiPriority w:val="0"/>
    <w:pPr>
      <w:widowControl/>
      <w:spacing w:before="100" w:beforeAutospacing="1" w:after="100" w:afterAutospacing="1"/>
      <w:jc w:val="left"/>
    </w:pPr>
    <w:rPr>
      <w:kern w:val="0"/>
      <w:sz w:val="20"/>
      <w:szCs w:val="20"/>
    </w:rPr>
  </w:style>
  <w:style w:type="paragraph" w:customStyle="1" w:styleId="283">
    <w:name w:val="pa-15"/>
    <w:basedOn w:val="1"/>
    <w:qFormat/>
    <w:uiPriority w:val="0"/>
    <w:pPr>
      <w:widowControl/>
      <w:spacing w:before="150" w:after="150"/>
      <w:jc w:val="left"/>
    </w:pPr>
    <w:rPr>
      <w:rFonts w:ascii="宋体" w:hAnsi="宋体" w:cs="宋体"/>
      <w:kern w:val="0"/>
      <w:sz w:val="24"/>
    </w:rPr>
  </w:style>
  <w:style w:type="paragraph" w:customStyle="1" w:styleId="284">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6">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7">
    <w:name w:val="Char Char3 Char Char"/>
    <w:basedOn w:val="1"/>
    <w:qFormat/>
    <w:uiPriority w:val="0"/>
    <w:pPr>
      <w:spacing w:line="360" w:lineRule="auto"/>
      <w:ind w:firstLine="200" w:firstLineChars="200"/>
    </w:pPr>
    <w:rPr>
      <w:rFonts w:ascii="宋体" w:hAnsi="宋体" w:cs="宋体"/>
      <w:sz w:val="24"/>
    </w:rPr>
  </w:style>
  <w:style w:type="paragraph" w:customStyle="1" w:styleId="288">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9">
    <w:name w:val="正文序号 2"/>
    <w:basedOn w:val="1"/>
    <w:qFormat/>
    <w:uiPriority w:val="0"/>
    <w:pPr>
      <w:numPr>
        <w:ilvl w:val="1"/>
        <w:numId w:val="8"/>
      </w:numPr>
      <w:tabs>
        <w:tab w:val="left" w:pos="1049"/>
      </w:tabs>
      <w:spacing w:before="60"/>
    </w:pPr>
  </w:style>
  <w:style w:type="paragraph" w:customStyle="1" w:styleId="290">
    <w:name w:val="样式 样式 标题 4Alt+41.1.1.1 Heading 4bulletblbbH44h4H41h41H42... + 自动..."/>
    <w:basedOn w:val="202"/>
    <w:qFormat/>
    <w:uiPriority w:val="0"/>
    <w:pPr>
      <w:numPr>
        <w:ilvl w:val="3"/>
        <w:numId w:val="20"/>
      </w:numPr>
      <w:tabs>
        <w:tab w:val="clear" w:pos="1914"/>
      </w:tabs>
    </w:pPr>
    <w:rPr>
      <w:color w:val="auto"/>
    </w:rPr>
  </w:style>
  <w:style w:type="paragraph" w:styleId="291">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3">
    <w:name w:val="MM Topic 5"/>
    <w:basedOn w:val="7"/>
    <w:qFormat/>
    <w:uiPriority w:val="0"/>
    <w:pPr>
      <w:numPr>
        <w:ilvl w:val="4"/>
        <w:numId w:val="11"/>
      </w:numPr>
      <w:tabs>
        <w:tab w:val="left" w:pos="425"/>
        <w:tab w:val="clear" w:pos="2551"/>
      </w:tabs>
    </w:pPr>
    <w:rPr>
      <w:bCs/>
      <w:szCs w:val="28"/>
    </w:rPr>
  </w:style>
  <w:style w:type="paragraph" w:customStyle="1" w:styleId="294">
    <w:name w:val="正文文本样式"/>
    <w:basedOn w:val="1"/>
    <w:qFormat/>
    <w:uiPriority w:val="0"/>
    <w:pPr>
      <w:spacing w:line="360" w:lineRule="auto"/>
      <w:ind w:firstLine="482"/>
    </w:pPr>
    <w:rPr>
      <w:rFonts w:cs="宋体"/>
      <w:sz w:val="24"/>
      <w:szCs w:val="20"/>
    </w:rPr>
  </w:style>
  <w:style w:type="paragraph" w:customStyle="1" w:styleId="2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7">
    <w:name w:val="MM Topic 4"/>
    <w:basedOn w:val="6"/>
    <w:qFormat/>
    <w:uiPriority w:val="0"/>
    <w:pPr>
      <w:numPr>
        <w:ilvl w:val="3"/>
        <w:numId w:val="11"/>
      </w:numPr>
      <w:tabs>
        <w:tab w:val="left" w:pos="425"/>
        <w:tab w:val="clear" w:pos="1984"/>
      </w:tabs>
    </w:pPr>
    <w:rPr>
      <w:bCs/>
      <w:szCs w:val="28"/>
    </w:rPr>
  </w:style>
  <w:style w:type="paragraph" w:customStyle="1" w:styleId="298">
    <w:name w:val="正文序号 3"/>
    <w:basedOn w:val="1"/>
    <w:qFormat/>
    <w:uiPriority w:val="0"/>
    <w:pPr>
      <w:numPr>
        <w:ilvl w:val="2"/>
        <w:numId w:val="8"/>
      </w:numPr>
      <w:tabs>
        <w:tab w:val="left" w:pos="1259"/>
      </w:tabs>
      <w:spacing w:before="60"/>
    </w:pPr>
  </w:style>
  <w:style w:type="paragraph" w:customStyle="1" w:styleId="299">
    <w:name w:val="Char2"/>
    <w:basedOn w:val="1"/>
    <w:qFormat/>
    <w:uiPriority w:val="0"/>
    <w:pPr>
      <w:tabs>
        <w:tab w:val="left" w:pos="425"/>
      </w:tabs>
      <w:ind w:left="425" w:hanging="425"/>
    </w:pPr>
    <w:rPr>
      <w:sz w:val="24"/>
    </w:rPr>
  </w:style>
  <w:style w:type="paragraph" w:customStyle="1" w:styleId="300">
    <w:name w:val="正文序号 1"/>
    <w:basedOn w:val="1"/>
    <w:qFormat/>
    <w:uiPriority w:val="0"/>
    <w:pPr>
      <w:numPr>
        <w:ilvl w:val="0"/>
        <w:numId w:val="8"/>
      </w:numPr>
      <w:tabs>
        <w:tab w:val="left" w:pos="839"/>
      </w:tabs>
      <w:spacing w:before="60"/>
    </w:pPr>
  </w:style>
  <w:style w:type="paragraph" w:customStyle="1" w:styleId="301">
    <w:name w:val="字元 字元1"/>
    <w:basedOn w:val="1"/>
    <w:qFormat/>
    <w:uiPriority w:val="0"/>
    <w:pPr>
      <w:spacing w:line="360" w:lineRule="auto"/>
      <w:ind w:firstLine="200" w:firstLineChars="200"/>
    </w:pPr>
    <w:rPr>
      <w:rFonts w:ascii="宋体" w:hAnsi="宋体" w:cs="宋体"/>
      <w:sz w:val="24"/>
    </w:rPr>
  </w:style>
  <w:style w:type="paragraph" w:customStyle="1" w:styleId="302">
    <w:name w:val="font12"/>
    <w:basedOn w:val="1"/>
    <w:qFormat/>
    <w:uiPriority w:val="0"/>
    <w:pPr>
      <w:widowControl/>
      <w:spacing w:before="100" w:beforeAutospacing="1" w:after="100" w:afterAutospacing="1"/>
      <w:jc w:val="left"/>
    </w:pPr>
    <w:rPr>
      <w:kern w:val="0"/>
      <w:sz w:val="22"/>
      <w:szCs w:val="22"/>
    </w:rPr>
  </w:style>
  <w:style w:type="paragraph" w:customStyle="1" w:styleId="303">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4">
    <w:name w:val="标题 1 Char2"/>
    <w:qFormat/>
    <w:uiPriority w:val="0"/>
    <w:rPr>
      <w:rFonts w:ascii="黑体" w:eastAsia="黑体"/>
      <w:bCs/>
      <w:kern w:val="44"/>
      <w:sz w:val="24"/>
      <w:szCs w:val="24"/>
    </w:rPr>
  </w:style>
  <w:style w:type="character" w:customStyle="1" w:styleId="305">
    <w:name w:val="Font Style17"/>
    <w:qFormat/>
    <w:uiPriority w:val="0"/>
    <w:rPr>
      <w:rFonts w:ascii="黑体" w:eastAsia="黑体" w:cs="黑体"/>
      <w:sz w:val="28"/>
      <w:szCs w:val="28"/>
    </w:rPr>
  </w:style>
  <w:style w:type="character" w:styleId="306">
    <w:name w:val="Placeholder Text"/>
    <w:basedOn w:val="49"/>
    <w:semiHidden/>
    <w:qFormat/>
    <w:uiPriority w:val="99"/>
    <w:rPr>
      <w:color w:val="808080"/>
    </w:rPr>
  </w:style>
  <w:style w:type="character" w:customStyle="1" w:styleId="307">
    <w:name w:val="正文缩进 Char3"/>
    <w:qFormat/>
    <w:uiPriority w:val="0"/>
    <w:rPr>
      <w:rFonts w:ascii="宋体" w:eastAsia="宋体"/>
      <w:sz w:val="34"/>
      <w:lang w:val="en-US" w:eastAsia="zh-CN" w:bidi="ar-SA"/>
    </w:rPr>
  </w:style>
  <w:style w:type="character" w:customStyle="1" w:styleId="308">
    <w:name w:val="正文文本 3 Char"/>
    <w:basedOn w:val="49"/>
    <w:link w:val="17"/>
    <w:qFormat/>
    <w:uiPriority w:val="0"/>
    <w:rPr>
      <w:sz w:val="16"/>
      <w:szCs w:val="16"/>
    </w:rPr>
  </w:style>
  <w:style w:type="paragraph" w:customStyle="1" w:styleId="30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67</Pages>
  <Words>32196</Words>
  <Characters>34774</Characters>
  <Lines>291</Lines>
  <Paragraphs>82</Paragraphs>
  <TotalTime>3</TotalTime>
  <ScaleCrop>false</ScaleCrop>
  <LinksUpToDate>false</LinksUpToDate>
  <CharactersWithSpaces>40941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2015-10-16T03:36:00Z</cp:lastPrinted>
  <dcterms:modified xsi:type="dcterms:W3CDTF">2022-08-31T09:07:36Z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7E879E30A97A497E8268F011118C4368</vt:lpwstr>
  </property>
</Properties>
</file>